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E8CBB" w14:textId="77777777" w:rsidR="00850127" w:rsidRPr="00850127" w:rsidRDefault="00850127" w:rsidP="00850127">
      <w:pPr>
        <w:rPr>
          <w:b/>
          <w:bCs/>
        </w:rPr>
      </w:pPr>
      <w:r w:rsidRPr="00850127">
        <w:rPr>
          <w:b/>
          <w:bCs/>
        </w:rPr>
        <w:t>Faversham Hopper Community Bus Service Business Plan (2024-2027)</w:t>
      </w:r>
    </w:p>
    <w:p w14:paraId="6549B4A7" w14:textId="77777777" w:rsidR="00850127" w:rsidRPr="00850127" w:rsidRDefault="00850127" w:rsidP="00850127">
      <w:pPr>
        <w:rPr>
          <w:b/>
          <w:bCs/>
        </w:rPr>
      </w:pPr>
      <w:r w:rsidRPr="00850127">
        <w:rPr>
          <w:b/>
          <w:bCs/>
        </w:rPr>
        <w:t>Purpose</w:t>
      </w:r>
    </w:p>
    <w:p w14:paraId="57A458E3" w14:textId="77777777" w:rsidR="00850127" w:rsidRPr="00850127" w:rsidRDefault="00850127" w:rsidP="00850127">
      <w:r w:rsidRPr="00850127">
        <w:t>The Faversham Hopper Community Bus Service (“The Hopper”) was launched in April 2024 to reinstate public transport for residents of Oare, Newnham, Lynsted, Teynham, and parts of Faversham. The service operates a wheelchair-accessible minibus, designed to cater to isolated and mobility-restricted individuals who have had limited transport options since early 2023.</w:t>
      </w:r>
    </w:p>
    <w:p w14:paraId="56F2DDB8" w14:textId="77777777" w:rsidR="00850127" w:rsidRPr="00850127" w:rsidRDefault="00850127" w:rsidP="00850127">
      <w:pPr>
        <w:rPr>
          <w:b/>
          <w:bCs/>
        </w:rPr>
      </w:pPr>
      <w:r w:rsidRPr="00850127">
        <w:rPr>
          <w:b/>
          <w:bCs/>
        </w:rPr>
        <w:t>Key Success Factors</w:t>
      </w:r>
    </w:p>
    <w:p w14:paraId="3E30D334" w14:textId="77777777" w:rsidR="00850127" w:rsidRPr="00850127" w:rsidRDefault="00850127" w:rsidP="00850127">
      <w:r w:rsidRPr="00850127">
        <w:t>To ensure long-term success, The Hopper requires:</w:t>
      </w:r>
    </w:p>
    <w:p w14:paraId="7223594A" w14:textId="77777777" w:rsidR="00850127" w:rsidRPr="00850127" w:rsidRDefault="00850127" w:rsidP="00850127">
      <w:pPr>
        <w:numPr>
          <w:ilvl w:val="0"/>
          <w:numId w:val="1"/>
        </w:numPr>
      </w:pPr>
      <w:r w:rsidRPr="00850127">
        <w:rPr>
          <w:b/>
          <w:bCs/>
        </w:rPr>
        <w:t>Volunteer Support</w:t>
      </w:r>
      <w:r w:rsidRPr="00850127">
        <w:t>: A committed, effective, and growing base of volunteer drivers.</w:t>
      </w:r>
    </w:p>
    <w:p w14:paraId="51255F32" w14:textId="77777777" w:rsidR="00850127" w:rsidRPr="00850127" w:rsidRDefault="00850127" w:rsidP="00850127">
      <w:pPr>
        <w:numPr>
          <w:ilvl w:val="0"/>
          <w:numId w:val="1"/>
        </w:numPr>
      </w:pPr>
      <w:r w:rsidRPr="00850127">
        <w:rPr>
          <w:b/>
          <w:bCs/>
        </w:rPr>
        <w:t>Vehicle Availability</w:t>
      </w:r>
      <w:r w:rsidRPr="00850127">
        <w:t>: Access to a reliable primary vehicle, supplemented by spares as needed.</w:t>
      </w:r>
    </w:p>
    <w:p w14:paraId="21C1EFFC" w14:textId="77777777" w:rsidR="00850127" w:rsidRPr="00850127" w:rsidRDefault="00850127" w:rsidP="00850127">
      <w:pPr>
        <w:numPr>
          <w:ilvl w:val="0"/>
          <w:numId w:val="1"/>
        </w:numPr>
      </w:pPr>
      <w:r w:rsidRPr="00850127">
        <w:rPr>
          <w:b/>
          <w:bCs/>
        </w:rPr>
        <w:t>Sustainable Funding</w:t>
      </w:r>
      <w:r w:rsidRPr="00850127">
        <w:t>: Sufficient revenue and funding to maintain and expand the service in line with demand.</w:t>
      </w:r>
    </w:p>
    <w:p w14:paraId="282062D3" w14:textId="77777777" w:rsidR="00850127" w:rsidRPr="00850127" w:rsidRDefault="00850127" w:rsidP="00850127">
      <w:pPr>
        <w:numPr>
          <w:ilvl w:val="0"/>
          <w:numId w:val="1"/>
        </w:numPr>
      </w:pPr>
      <w:r w:rsidRPr="00850127">
        <w:rPr>
          <w:b/>
          <w:bCs/>
        </w:rPr>
        <w:t>Effective Marketing</w:t>
      </w:r>
      <w:r w:rsidRPr="00850127">
        <w:t>: Regular promotion to attract new users and maintain engagement with existing passengers.</w:t>
      </w:r>
    </w:p>
    <w:p w14:paraId="7D7C0F0B" w14:textId="77777777" w:rsidR="00850127" w:rsidRPr="00850127" w:rsidRDefault="00850127" w:rsidP="00850127">
      <w:pPr>
        <w:numPr>
          <w:ilvl w:val="0"/>
          <w:numId w:val="1"/>
        </w:numPr>
      </w:pPr>
      <w:r w:rsidRPr="00850127">
        <w:rPr>
          <w:b/>
          <w:bCs/>
        </w:rPr>
        <w:t>Stakeholder Engagement</w:t>
      </w:r>
      <w:r w:rsidRPr="00850127">
        <w:t>: Ongoing communication with stakeholders, passengers, and the wider public.</w:t>
      </w:r>
    </w:p>
    <w:p w14:paraId="1B5A0366" w14:textId="77777777" w:rsidR="00850127" w:rsidRPr="00850127" w:rsidRDefault="00850127" w:rsidP="00850127">
      <w:pPr>
        <w:rPr>
          <w:b/>
          <w:bCs/>
        </w:rPr>
      </w:pPr>
      <w:r w:rsidRPr="00850127">
        <w:rPr>
          <w:b/>
          <w:bCs/>
        </w:rPr>
        <w:t>Challenges</w:t>
      </w:r>
    </w:p>
    <w:p w14:paraId="674110D5" w14:textId="77777777" w:rsidR="00850127" w:rsidRPr="00850127" w:rsidRDefault="00850127" w:rsidP="00850127">
      <w:pPr>
        <w:numPr>
          <w:ilvl w:val="0"/>
          <w:numId w:val="2"/>
        </w:numPr>
      </w:pPr>
      <w:r w:rsidRPr="00850127">
        <w:rPr>
          <w:b/>
          <w:bCs/>
        </w:rPr>
        <w:t>Low Population Density</w:t>
      </w:r>
      <w:r w:rsidRPr="00850127">
        <w:t>: Some areas served by The Hopper, particularly FH2, have a high rate of car ownership and low population density, limiting ridership.</w:t>
      </w:r>
    </w:p>
    <w:p w14:paraId="462F9EBC" w14:textId="77777777" w:rsidR="00850127" w:rsidRPr="00850127" w:rsidRDefault="00850127" w:rsidP="00850127">
      <w:pPr>
        <w:numPr>
          <w:ilvl w:val="0"/>
          <w:numId w:val="2"/>
        </w:numPr>
      </w:pPr>
      <w:r w:rsidRPr="00850127">
        <w:rPr>
          <w:b/>
          <w:bCs/>
        </w:rPr>
        <w:t>Lack of Alternatives</w:t>
      </w:r>
      <w:r w:rsidRPr="00850127">
        <w:t xml:space="preserve">: Kent </w:t>
      </w:r>
      <w:proofErr w:type="spellStart"/>
      <w:r w:rsidRPr="00850127">
        <w:t>Karrier</w:t>
      </w:r>
      <w:proofErr w:type="spellEnd"/>
      <w:r w:rsidRPr="00850127">
        <w:t xml:space="preserve"> dial-a-ride, the only alternative, operates a limited, costly service.</w:t>
      </w:r>
    </w:p>
    <w:p w14:paraId="2BE96698" w14:textId="5690038D" w:rsidR="00850127" w:rsidRPr="00850127" w:rsidRDefault="00850127" w:rsidP="00850127">
      <w:pPr>
        <w:numPr>
          <w:ilvl w:val="0"/>
          <w:numId w:val="2"/>
        </w:numPr>
      </w:pPr>
      <w:r w:rsidRPr="00850127">
        <w:rPr>
          <w:b/>
          <w:bCs/>
        </w:rPr>
        <w:t>Vehicle Dependence</w:t>
      </w:r>
      <w:r w:rsidRPr="00850127">
        <w:t>: Reliance on a single leased vehicle, with spare coverage arranged through London Hire Ltd and neighbo</w:t>
      </w:r>
      <w:r w:rsidR="004C0030">
        <w:t>u</w:t>
      </w:r>
      <w:r w:rsidRPr="00850127">
        <w:t>ring operators like Wealden Wheels and Sheppey Wheels in emergencies.</w:t>
      </w:r>
    </w:p>
    <w:p w14:paraId="341195F5" w14:textId="77777777" w:rsidR="00850127" w:rsidRPr="00850127" w:rsidRDefault="00850127" w:rsidP="00850127">
      <w:r w:rsidRPr="00850127">
        <w:pict w14:anchorId="624B3DA0">
          <v:rect id="_x0000_i1055" style="width:0;height:1.5pt" o:hralign="center" o:hrstd="t" o:hr="t" fillcolor="#a0a0a0" stroked="f"/>
        </w:pict>
      </w:r>
    </w:p>
    <w:p w14:paraId="21B2AF73" w14:textId="77777777" w:rsidR="00850127" w:rsidRPr="00850127" w:rsidRDefault="00850127" w:rsidP="00850127">
      <w:pPr>
        <w:rPr>
          <w:b/>
          <w:bCs/>
        </w:rPr>
      </w:pPr>
      <w:r w:rsidRPr="00850127">
        <w:rPr>
          <w:b/>
          <w:bCs/>
        </w:rPr>
        <w:t>Objectives</w:t>
      </w:r>
    </w:p>
    <w:p w14:paraId="5F018147" w14:textId="77777777" w:rsidR="00850127" w:rsidRPr="00850127" w:rsidRDefault="00850127" w:rsidP="00850127">
      <w:pPr>
        <w:rPr>
          <w:b/>
          <w:bCs/>
        </w:rPr>
      </w:pPr>
      <w:r w:rsidRPr="00850127">
        <w:rPr>
          <w:b/>
          <w:bCs/>
        </w:rPr>
        <w:t>Short Term (2024-2025)</w:t>
      </w:r>
    </w:p>
    <w:p w14:paraId="57C96AF7" w14:textId="77777777" w:rsidR="00850127" w:rsidRPr="00850127" w:rsidRDefault="00850127" w:rsidP="00850127">
      <w:pPr>
        <w:numPr>
          <w:ilvl w:val="0"/>
          <w:numId w:val="3"/>
        </w:numPr>
      </w:pPr>
      <w:r w:rsidRPr="00850127">
        <w:rPr>
          <w:b/>
          <w:bCs/>
        </w:rPr>
        <w:t>Service Optimization</w:t>
      </w:r>
      <w:r w:rsidRPr="00850127">
        <w:t>: Review routes and schedules for efficiency and relevance.</w:t>
      </w:r>
    </w:p>
    <w:p w14:paraId="65196E54" w14:textId="77777777" w:rsidR="00850127" w:rsidRPr="00850127" w:rsidRDefault="00850127" w:rsidP="00850127">
      <w:pPr>
        <w:numPr>
          <w:ilvl w:val="0"/>
          <w:numId w:val="3"/>
        </w:numPr>
      </w:pPr>
      <w:r w:rsidRPr="00850127">
        <w:rPr>
          <w:b/>
          <w:bCs/>
        </w:rPr>
        <w:lastRenderedPageBreak/>
        <w:t>Funding</w:t>
      </w:r>
      <w:r w:rsidRPr="00850127">
        <w:t>: Research and secure additional funding for operational continuity.</w:t>
      </w:r>
    </w:p>
    <w:p w14:paraId="1BAA7C3C" w14:textId="77777777" w:rsidR="00850127" w:rsidRPr="00850127" w:rsidRDefault="00850127" w:rsidP="00850127">
      <w:pPr>
        <w:numPr>
          <w:ilvl w:val="0"/>
          <w:numId w:val="3"/>
        </w:numPr>
      </w:pPr>
      <w:r w:rsidRPr="00850127">
        <w:rPr>
          <w:b/>
          <w:bCs/>
        </w:rPr>
        <w:t>Private Hire Viability</w:t>
      </w:r>
      <w:r w:rsidRPr="00850127">
        <w:t>: Assess the potential for private hire, directing any proceeds to support the service.</w:t>
      </w:r>
    </w:p>
    <w:p w14:paraId="766CDCF7" w14:textId="77777777" w:rsidR="00850127" w:rsidRPr="00850127" w:rsidRDefault="00850127" w:rsidP="00850127">
      <w:pPr>
        <w:numPr>
          <w:ilvl w:val="0"/>
          <w:numId w:val="3"/>
        </w:numPr>
      </w:pPr>
      <w:r w:rsidRPr="00850127">
        <w:rPr>
          <w:b/>
          <w:bCs/>
        </w:rPr>
        <w:t>Volunteer Engagement</w:t>
      </w:r>
      <w:r w:rsidRPr="00850127">
        <w:t>: Conduct recruitment and training campaigns to expand the volunteer base.</w:t>
      </w:r>
    </w:p>
    <w:p w14:paraId="4965E165" w14:textId="77777777" w:rsidR="00850127" w:rsidRPr="00850127" w:rsidRDefault="00850127" w:rsidP="00850127">
      <w:pPr>
        <w:numPr>
          <w:ilvl w:val="0"/>
          <w:numId w:val="3"/>
        </w:numPr>
      </w:pPr>
      <w:r w:rsidRPr="00850127">
        <w:rPr>
          <w:b/>
          <w:bCs/>
        </w:rPr>
        <w:t>Publicity</w:t>
      </w:r>
      <w:r w:rsidRPr="00850127">
        <w:t>: Increase local awareness through participation in community events and seeking business sponsorship.</w:t>
      </w:r>
    </w:p>
    <w:p w14:paraId="6484CEA9" w14:textId="77777777" w:rsidR="00850127" w:rsidRPr="00850127" w:rsidRDefault="00850127" w:rsidP="00850127">
      <w:pPr>
        <w:numPr>
          <w:ilvl w:val="0"/>
          <w:numId w:val="3"/>
        </w:numPr>
      </w:pPr>
      <w:r w:rsidRPr="00850127">
        <w:rPr>
          <w:b/>
          <w:bCs/>
        </w:rPr>
        <w:t>Vehicle Replacement Planning</w:t>
      </w:r>
      <w:r w:rsidRPr="00850127">
        <w:t>: Begin securing funding for a low-floor replacement vehicle.</w:t>
      </w:r>
    </w:p>
    <w:p w14:paraId="55F9039B" w14:textId="77777777" w:rsidR="00850127" w:rsidRPr="00850127" w:rsidRDefault="00850127" w:rsidP="00850127">
      <w:pPr>
        <w:rPr>
          <w:b/>
          <w:bCs/>
        </w:rPr>
      </w:pPr>
      <w:r w:rsidRPr="00850127">
        <w:rPr>
          <w:b/>
          <w:bCs/>
        </w:rPr>
        <w:t>Medium Term (2026-2028)</w:t>
      </w:r>
    </w:p>
    <w:p w14:paraId="4D0C45D2" w14:textId="77777777" w:rsidR="00850127" w:rsidRPr="00850127" w:rsidRDefault="00850127" w:rsidP="00850127">
      <w:pPr>
        <w:numPr>
          <w:ilvl w:val="0"/>
          <w:numId w:val="4"/>
        </w:numPr>
      </w:pPr>
      <w:r w:rsidRPr="00850127">
        <w:rPr>
          <w:b/>
          <w:bCs/>
        </w:rPr>
        <w:t>Service Enhancements</w:t>
      </w:r>
      <w:r w:rsidRPr="00850127">
        <w:t>: Continue refining services based on user feedback.</w:t>
      </w:r>
    </w:p>
    <w:p w14:paraId="6ADF746F" w14:textId="77777777" w:rsidR="00850127" w:rsidRPr="00850127" w:rsidRDefault="00850127" w:rsidP="00850127">
      <w:pPr>
        <w:numPr>
          <w:ilvl w:val="0"/>
          <w:numId w:val="4"/>
        </w:numPr>
      </w:pPr>
      <w:r w:rsidRPr="00850127">
        <w:rPr>
          <w:b/>
          <w:bCs/>
        </w:rPr>
        <w:t>Sustainable Fleet Transition</w:t>
      </w:r>
      <w:r w:rsidRPr="00850127">
        <w:t>: Explore the transition to electric or non-fossil-fuel vehicles.</w:t>
      </w:r>
    </w:p>
    <w:p w14:paraId="1982BCCA" w14:textId="77777777" w:rsidR="00850127" w:rsidRPr="00850127" w:rsidRDefault="00850127" w:rsidP="00850127">
      <w:pPr>
        <w:numPr>
          <w:ilvl w:val="0"/>
          <w:numId w:val="4"/>
        </w:numPr>
      </w:pPr>
      <w:r w:rsidRPr="00850127">
        <w:rPr>
          <w:b/>
          <w:bCs/>
        </w:rPr>
        <w:t>Parking Optimization</w:t>
      </w:r>
      <w:r w:rsidRPr="00850127">
        <w:t>: Investigate council-owned land options, such as Perry Court, for vehicle parking.</w:t>
      </w:r>
    </w:p>
    <w:p w14:paraId="47914B9A" w14:textId="77777777" w:rsidR="00850127" w:rsidRPr="00850127" w:rsidRDefault="00850127" w:rsidP="00850127">
      <w:r w:rsidRPr="00850127">
        <w:pict w14:anchorId="7B881AEF">
          <v:rect id="_x0000_i1056" style="width:0;height:1.5pt" o:hralign="center" o:hrstd="t" o:hr="t" fillcolor="#a0a0a0" stroked="f"/>
        </w:pict>
      </w:r>
    </w:p>
    <w:p w14:paraId="2C0E31F5" w14:textId="77777777" w:rsidR="00850127" w:rsidRPr="00850127" w:rsidRDefault="00850127" w:rsidP="00850127">
      <w:pPr>
        <w:rPr>
          <w:b/>
          <w:bCs/>
        </w:rPr>
      </w:pPr>
      <w:r w:rsidRPr="00850127">
        <w:rPr>
          <w:b/>
          <w:bCs/>
        </w:rPr>
        <w:t>Implementation Plan</w:t>
      </w:r>
    </w:p>
    <w:p w14:paraId="379F43C5" w14:textId="77777777" w:rsidR="00850127" w:rsidRPr="00850127" w:rsidRDefault="00850127" w:rsidP="00850127">
      <w:pPr>
        <w:rPr>
          <w:b/>
          <w:bCs/>
        </w:rPr>
      </w:pPr>
      <w:r w:rsidRPr="00850127">
        <w:rPr>
          <w:b/>
          <w:bCs/>
        </w:rPr>
        <w:t>Immediate Actions (by End of 2024)</w:t>
      </w:r>
    </w:p>
    <w:p w14:paraId="73F7A625" w14:textId="77777777" w:rsidR="00850127" w:rsidRPr="00850127" w:rsidRDefault="00850127" w:rsidP="00850127">
      <w:pPr>
        <w:numPr>
          <w:ilvl w:val="0"/>
          <w:numId w:val="5"/>
        </w:numPr>
      </w:pPr>
      <w:r w:rsidRPr="00850127">
        <w:rPr>
          <w:b/>
          <w:bCs/>
        </w:rPr>
        <w:t>Timetable Adjustments</w:t>
      </w:r>
      <w:r w:rsidRPr="00850127">
        <w:t>: Improve afternoon schedules and consult stakeholders before submission to KCC.</w:t>
      </w:r>
    </w:p>
    <w:p w14:paraId="7EADC183" w14:textId="77777777" w:rsidR="00850127" w:rsidRPr="00850127" w:rsidRDefault="00850127" w:rsidP="00850127">
      <w:pPr>
        <w:numPr>
          <w:ilvl w:val="0"/>
          <w:numId w:val="5"/>
        </w:numPr>
      </w:pPr>
      <w:r w:rsidRPr="00850127">
        <w:rPr>
          <w:b/>
          <w:bCs/>
        </w:rPr>
        <w:t>Funding Consultation</w:t>
      </w:r>
      <w:r w:rsidRPr="00850127">
        <w:t>: Liaise with funding bodies regarding bids for operational and replacement vehicle support.</w:t>
      </w:r>
    </w:p>
    <w:p w14:paraId="6AE5CA54" w14:textId="77777777" w:rsidR="00850127" w:rsidRPr="00850127" w:rsidRDefault="00850127" w:rsidP="00850127">
      <w:pPr>
        <w:numPr>
          <w:ilvl w:val="0"/>
          <w:numId w:val="5"/>
        </w:numPr>
      </w:pPr>
      <w:r w:rsidRPr="00850127">
        <w:rPr>
          <w:b/>
          <w:bCs/>
        </w:rPr>
        <w:t>Volunteer Engagement</w:t>
      </w:r>
      <w:r w:rsidRPr="00850127">
        <w:t>: Launch recruitment initiatives, enhance communication, and increase social media presence.</w:t>
      </w:r>
    </w:p>
    <w:p w14:paraId="0C8FEF95" w14:textId="77777777" w:rsidR="00850127" w:rsidRPr="00850127" w:rsidRDefault="00850127" w:rsidP="00850127">
      <w:pPr>
        <w:numPr>
          <w:ilvl w:val="0"/>
          <w:numId w:val="5"/>
        </w:numPr>
      </w:pPr>
      <w:r w:rsidRPr="00850127">
        <w:rPr>
          <w:b/>
          <w:bCs/>
        </w:rPr>
        <w:t>Community Promotion</w:t>
      </w:r>
      <w:r w:rsidRPr="00850127">
        <w:t>: Attend local events, showcasing The Hopper and distributing promotional materials.</w:t>
      </w:r>
    </w:p>
    <w:p w14:paraId="08E6CC5F" w14:textId="77777777" w:rsidR="00850127" w:rsidRPr="00850127" w:rsidRDefault="00850127" w:rsidP="00850127">
      <w:pPr>
        <w:numPr>
          <w:ilvl w:val="0"/>
          <w:numId w:val="5"/>
        </w:numPr>
      </w:pPr>
      <w:r w:rsidRPr="00850127">
        <w:rPr>
          <w:b/>
          <w:bCs/>
        </w:rPr>
        <w:t>Sponsorship Agreement</w:t>
      </w:r>
      <w:r w:rsidRPr="00850127">
        <w:t>: Finalize and implement sponsorship with Lotty’s Flowers.</w:t>
      </w:r>
    </w:p>
    <w:p w14:paraId="193B168E" w14:textId="77777777" w:rsidR="00850127" w:rsidRPr="00850127" w:rsidRDefault="00850127" w:rsidP="00850127">
      <w:r w:rsidRPr="00850127">
        <w:pict w14:anchorId="2F7E2DAC">
          <v:rect id="_x0000_i1057" style="width:0;height:1.5pt" o:hralign="center" o:hrstd="t" o:hr="t" fillcolor="#a0a0a0" stroked="f"/>
        </w:pict>
      </w:r>
    </w:p>
    <w:p w14:paraId="0ADD085A" w14:textId="77777777" w:rsidR="00850127" w:rsidRPr="00850127" w:rsidRDefault="00850127" w:rsidP="00850127">
      <w:pPr>
        <w:rPr>
          <w:b/>
          <w:bCs/>
        </w:rPr>
      </w:pPr>
      <w:r w:rsidRPr="00850127">
        <w:rPr>
          <w:b/>
          <w:bCs/>
        </w:rPr>
        <w:t>Financial Projections</w:t>
      </w:r>
    </w:p>
    <w:p w14:paraId="5C96121A" w14:textId="77777777" w:rsidR="00850127" w:rsidRPr="00850127" w:rsidRDefault="00850127" w:rsidP="00850127">
      <w:pPr>
        <w:rPr>
          <w:b/>
          <w:bCs/>
        </w:rPr>
      </w:pPr>
      <w:r w:rsidRPr="00850127">
        <w:rPr>
          <w:b/>
          <w:bCs/>
        </w:rPr>
        <w:t>Income Streams</w:t>
      </w:r>
    </w:p>
    <w:p w14:paraId="04414C23" w14:textId="77777777" w:rsidR="00850127" w:rsidRPr="00850127" w:rsidRDefault="00850127" w:rsidP="00850127">
      <w:pPr>
        <w:numPr>
          <w:ilvl w:val="0"/>
          <w:numId w:val="6"/>
        </w:numPr>
      </w:pPr>
      <w:r w:rsidRPr="00850127">
        <w:rPr>
          <w:b/>
          <w:bCs/>
        </w:rPr>
        <w:lastRenderedPageBreak/>
        <w:t>KCC Concessionary Pass Reimbursement</w:t>
      </w:r>
      <w:r w:rsidRPr="00850127">
        <w:t>: Anticipated annual income of approximately £2,000, accounting for projected growth.</w:t>
      </w:r>
    </w:p>
    <w:p w14:paraId="58128247" w14:textId="77777777" w:rsidR="00850127" w:rsidRPr="00850127" w:rsidRDefault="00850127" w:rsidP="00850127">
      <w:pPr>
        <w:numPr>
          <w:ilvl w:val="0"/>
          <w:numId w:val="6"/>
        </w:numPr>
      </w:pPr>
      <w:r w:rsidRPr="00850127">
        <w:rPr>
          <w:b/>
          <w:bCs/>
        </w:rPr>
        <w:t>Fare-paying Passengers</w:t>
      </w:r>
      <w:r w:rsidRPr="00850127">
        <w:t>: Expected revenue of £1,100 annually, assuming steady ridership.</w:t>
      </w:r>
    </w:p>
    <w:p w14:paraId="591CB409" w14:textId="77777777" w:rsidR="00850127" w:rsidRPr="00850127" w:rsidRDefault="00850127" w:rsidP="00850127">
      <w:pPr>
        <w:numPr>
          <w:ilvl w:val="0"/>
          <w:numId w:val="6"/>
        </w:numPr>
      </w:pPr>
      <w:r w:rsidRPr="00850127">
        <w:rPr>
          <w:b/>
          <w:bCs/>
        </w:rPr>
        <w:t>Sponsorship Agreements</w:t>
      </w:r>
      <w:r w:rsidRPr="00850127">
        <w:t>: Current agreement with Lotty’s Flowers estimated to yield £2,000 per year.</w:t>
      </w:r>
    </w:p>
    <w:p w14:paraId="3D3399BB" w14:textId="77777777" w:rsidR="00850127" w:rsidRPr="00850127" w:rsidRDefault="00850127" w:rsidP="00850127">
      <w:pPr>
        <w:numPr>
          <w:ilvl w:val="0"/>
          <w:numId w:val="6"/>
        </w:numPr>
      </w:pPr>
      <w:r w:rsidRPr="00850127">
        <w:rPr>
          <w:b/>
          <w:bCs/>
        </w:rPr>
        <w:t>Bus Service Operators Grant (BSOG)</w:t>
      </w:r>
      <w:r w:rsidRPr="00850127">
        <w:t>: Potential reimbursement of 60p per litre of diesel, subject to audit.</w:t>
      </w:r>
    </w:p>
    <w:p w14:paraId="7F9D7A50" w14:textId="77777777" w:rsidR="00850127" w:rsidRPr="00850127" w:rsidRDefault="00850127" w:rsidP="00850127">
      <w:pPr>
        <w:numPr>
          <w:ilvl w:val="0"/>
          <w:numId w:val="6"/>
        </w:numPr>
      </w:pPr>
      <w:r w:rsidRPr="00850127">
        <w:rPr>
          <w:b/>
          <w:bCs/>
        </w:rPr>
        <w:t>Parish Council Contributions</w:t>
      </w:r>
      <w:r w:rsidRPr="00850127">
        <w:t>: Ongoing support from Newnham, Doddington, Lynsted, and (potentially) Oare.</w:t>
      </w:r>
    </w:p>
    <w:p w14:paraId="576A5808" w14:textId="77777777" w:rsidR="00850127" w:rsidRPr="00850127" w:rsidRDefault="00850127" w:rsidP="00850127">
      <w:pPr>
        <w:numPr>
          <w:ilvl w:val="0"/>
          <w:numId w:val="6"/>
        </w:numPr>
      </w:pPr>
      <w:r w:rsidRPr="00850127">
        <w:rPr>
          <w:b/>
          <w:bCs/>
        </w:rPr>
        <w:t>KCC Community Bus Grant</w:t>
      </w:r>
      <w:r w:rsidRPr="00850127">
        <w:t>: £30,490 remains available as of October 2024.</w:t>
      </w:r>
    </w:p>
    <w:p w14:paraId="25C0063F" w14:textId="77777777" w:rsidR="00850127" w:rsidRPr="00850127" w:rsidRDefault="00850127" w:rsidP="00850127">
      <w:pPr>
        <w:numPr>
          <w:ilvl w:val="0"/>
          <w:numId w:val="6"/>
        </w:numPr>
      </w:pPr>
      <w:r w:rsidRPr="00850127">
        <w:rPr>
          <w:b/>
          <w:bCs/>
        </w:rPr>
        <w:t>Private Hire Revenue</w:t>
      </w:r>
      <w:r w:rsidRPr="00850127">
        <w:t>: Developing plans for private hire, charging approximately £2.25 per mile, with coverage by volunteer drivers.</w:t>
      </w:r>
    </w:p>
    <w:p w14:paraId="52BC6279" w14:textId="77777777" w:rsidR="00850127" w:rsidRPr="00850127" w:rsidRDefault="00850127" w:rsidP="00850127">
      <w:pPr>
        <w:rPr>
          <w:b/>
          <w:bCs/>
        </w:rPr>
      </w:pPr>
      <w:r w:rsidRPr="00850127">
        <w:rPr>
          <w:b/>
          <w:bCs/>
        </w:rPr>
        <w:t>Expenses</w:t>
      </w:r>
    </w:p>
    <w:p w14:paraId="201A8FA7" w14:textId="77777777" w:rsidR="00850127" w:rsidRPr="00850127" w:rsidRDefault="00850127" w:rsidP="00850127">
      <w:pPr>
        <w:numPr>
          <w:ilvl w:val="0"/>
          <w:numId w:val="7"/>
        </w:numPr>
      </w:pPr>
      <w:r w:rsidRPr="00850127">
        <w:rPr>
          <w:b/>
          <w:bCs/>
        </w:rPr>
        <w:t>Community Bus Officer</w:t>
      </w:r>
      <w:r w:rsidRPr="00850127">
        <w:t>: Part-time employment (8 hours/week).</w:t>
      </w:r>
    </w:p>
    <w:p w14:paraId="3605CF63" w14:textId="77777777" w:rsidR="00850127" w:rsidRPr="00850127" w:rsidRDefault="00850127" w:rsidP="00850127">
      <w:pPr>
        <w:numPr>
          <w:ilvl w:val="0"/>
          <w:numId w:val="7"/>
        </w:numPr>
      </w:pPr>
      <w:r w:rsidRPr="00850127">
        <w:rPr>
          <w:b/>
          <w:bCs/>
        </w:rPr>
        <w:t>Vehicle Leasing</w:t>
      </w:r>
      <w:r w:rsidRPr="00850127">
        <w:t>: Annual lease for a 12-seat, fully accessible minibus at £17,710.80.</w:t>
      </w:r>
    </w:p>
    <w:p w14:paraId="17F1DB04" w14:textId="77777777" w:rsidR="00850127" w:rsidRPr="00850127" w:rsidRDefault="00850127" w:rsidP="00850127">
      <w:pPr>
        <w:numPr>
          <w:ilvl w:val="0"/>
          <w:numId w:val="7"/>
        </w:numPr>
      </w:pPr>
      <w:r w:rsidRPr="00850127">
        <w:rPr>
          <w:b/>
          <w:bCs/>
        </w:rPr>
        <w:t>Insurance</w:t>
      </w:r>
      <w:r w:rsidRPr="00850127">
        <w:t>: Annual insurance costs currently stand at £6,440.</w:t>
      </w:r>
    </w:p>
    <w:p w14:paraId="346BD7F5" w14:textId="77777777" w:rsidR="00850127" w:rsidRPr="00850127" w:rsidRDefault="00850127" w:rsidP="00850127">
      <w:pPr>
        <w:numPr>
          <w:ilvl w:val="0"/>
          <w:numId w:val="7"/>
        </w:numPr>
      </w:pPr>
      <w:r w:rsidRPr="00850127">
        <w:rPr>
          <w:b/>
          <w:bCs/>
        </w:rPr>
        <w:t>Fuel Costs</w:t>
      </w:r>
      <w:r w:rsidRPr="00850127">
        <w:t>: Estimated annual cost of £5,200, based on weekly usage.</w:t>
      </w:r>
    </w:p>
    <w:p w14:paraId="2848B1FD" w14:textId="77777777" w:rsidR="00850127" w:rsidRPr="00850127" w:rsidRDefault="00850127" w:rsidP="00850127">
      <w:pPr>
        <w:numPr>
          <w:ilvl w:val="0"/>
          <w:numId w:val="7"/>
        </w:numPr>
      </w:pPr>
      <w:r w:rsidRPr="00850127">
        <w:rPr>
          <w:b/>
          <w:bCs/>
        </w:rPr>
        <w:t>Ticket Machine Software License</w:t>
      </w:r>
      <w:r w:rsidRPr="00850127">
        <w:t>: £496 annually.</w:t>
      </w:r>
    </w:p>
    <w:p w14:paraId="07E1048A" w14:textId="77777777" w:rsidR="00850127" w:rsidRPr="00850127" w:rsidRDefault="00850127" w:rsidP="00850127">
      <w:pPr>
        <w:numPr>
          <w:ilvl w:val="0"/>
          <w:numId w:val="7"/>
        </w:numPr>
      </w:pPr>
      <w:r w:rsidRPr="00850127">
        <w:rPr>
          <w:b/>
          <w:bCs/>
        </w:rPr>
        <w:t>Volunteer Training</w:t>
      </w:r>
      <w:r w:rsidRPr="00850127">
        <w:t>: Estimated training costs of £700, covering turnover and compliance.</w:t>
      </w:r>
    </w:p>
    <w:p w14:paraId="5E77DC80" w14:textId="77777777" w:rsidR="00850127" w:rsidRPr="00850127" w:rsidRDefault="00850127" w:rsidP="00850127">
      <w:pPr>
        <w:numPr>
          <w:ilvl w:val="0"/>
          <w:numId w:val="7"/>
        </w:numPr>
      </w:pPr>
      <w:r w:rsidRPr="00850127">
        <w:rPr>
          <w:b/>
          <w:bCs/>
        </w:rPr>
        <w:t>Repairs and Maintenance</w:t>
      </w:r>
      <w:r w:rsidRPr="00850127">
        <w:t>: Allocate £2,000 for minor repairs, including tail lift and bodywork.</w:t>
      </w:r>
    </w:p>
    <w:p w14:paraId="37530772" w14:textId="77777777" w:rsidR="00850127" w:rsidRPr="00850127" w:rsidRDefault="00850127" w:rsidP="00850127">
      <w:pPr>
        <w:numPr>
          <w:ilvl w:val="0"/>
          <w:numId w:val="7"/>
        </w:numPr>
      </w:pPr>
      <w:r w:rsidRPr="00850127">
        <w:rPr>
          <w:b/>
          <w:bCs/>
        </w:rPr>
        <w:t>Marketing and Promotion</w:t>
      </w:r>
      <w:r w:rsidRPr="00850127">
        <w:t>: Budget of £300 for banners, stands, and promotional materials.</w:t>
      </w:r>
    </w:p>
    <w:p w14:paraId="07517E4E" w14:textId="77777777" w:rsidR="00850127" w:rsidRPr="00850127" w:rsidRDefault="00850127" w:rsidP="00850127">
      <w:r w:rsidRPr="00850127">
        <w:pict w14:anchorId="16AAFA3A">
          <v:rect id="_x0000_i1058" style="width:0;height:1.5pt" o:hralign="center" o:hrstd="t" o:hr="t" fillcolor="#a0a0a0" stroked="f"/>
        </w:pict>
      </w:r>
    </w:p>
    <w:p w14:paraId="5C671A4D" w14:textId="77777777" w:rsidR="00850127" w:rsidRPr="00850127" w:rsidRDefault="00850127" w:rsidP="00850127">
      <w:pPr>
        <w:rPr>
          <w:b/>
          <w:bCs/>
        </w:rPr>
      </w:pPr>
      <w:r w:rsidRPr="00850127">
        <w:rPr>
          <w:b/>
          <w:bCs/>
        </w:rPr>
        <w:t>Financial Summary (2024-2027)</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6"/>
        <w:gridCol w:w="1710"/>
        <w:gridCol w:w="2038"/>
      </w:tblGrid>
      <w:tr w:rsidR="00850127" w:rsidRPr="00850127" w14:paraId="5857BBDE" w14:textId="77777777" w:rsidTr="00850127">
        <w:trPr>
          <w:tblHeader/>
          <w:tblCellSpacing w:w="15" w:type="dxa"/>
        </w:trPr>
        <w:tc>
          <w:tcPr>
            <w:tcW w:w="0" w:type="auto"/>
            <w:vAlign w:val="center"/>
            <w:hideMark/>
          </w:tcPr>
          <w:p w14:paraId="7A68DD00" w14:textId="77777777" w:rsidR="00850127" w:rsidRPr="00850127" w:rsidRDefault="00850127" w:rsidP="00850127">
            <w:pPr>
              <w:rPr>
                <w:b/>
                <w:bCs/>
              </w:rPr>
            </w:pPr>
            <w:r w:rsidRPr="00850127">
              <w:rPr>
                <w:b/>
                <w:bCs/>
              </w:rPr>
              <w:t>Category</w:t>
            </w:r>
          </w:p>
        </w:tc>
        <w:tc>
          <w:tcPr>
            <w:tcW w:w="0" w:type="auto"/>
            <w:vAlign w:val="center"/>
            <w:hideMark/>
          </w:tcPr>
          <w:p w14:paraId="23F351D2" w14:textId="77777777" w:rsidR="00850127" w:rsidRPr="00850127" w:rsidRDefault="00850127" w:rsidP="00850127">
            <w:pPr>
              <w:rPr>
                <w:b/>
                <w:bCs/>
              </w:rPr>
            </w:pPr>
            <w:r w:rsidRPr="00850127">
              <w:rPr>
                <w:b/>
                <w:bCs/>
              </w:rPr>
              <w:t>Annual Cost (£)</w:t>
            </w:r>
          </w:p>
        </w:tc>
        <w:tc>
          <w:tcPr>
            <w:tcW w:w="0" w:type="auto"/>
            <w:vAlign w:val="center"/>
            <w:hideMark/>
          </w:tcPr>
          <w:p w14:paraId="4896B2D7" w14:textId="77777777" w:rsidR="00850127" w:rsidRPr="00850127" w:rsidRDefault="00850127" w:rsidP="00850127">
            <w:pPr>
              <w:rPr>
                <w:b/>
                <w:bCs/>
              </w:rPr>
            </w:pPr>
            <w:r w:rsidRPr="00850127">
              <w:rPr>
                <w:b/>
                <w:bCs/>
              </w:rPr>
              <w:t>Annual Income (£)</w:t>
            </w:r>
          </w:p>
        </w:tc>
      </w:tr>
      <w:tr w:rsidR="00850127" w:rsidRPr="00850127" w14:paraId="2D3245FA" w14:textId="77777777" w:rsidTr="00850127">
        <w:trPr>
          <w:tblCellSpacing w:w="15" w:type="dxa"/>
        </w:trPr>
        <w:tc>
          <w:tcPr>
            <w:tcW w:w="0" w:type="auto"/>
            <w:vAlign w:val="center"/>
            <w:hideMark/>
          </w:tcPr>
          <w:p w14:paraId="38CF24B7" w14:textId="77777777" w:rsidR="00850127" w:rsidRPr="00850127" w:rsidRDefault="00850127" w:rsidP="00850127">
            <w:r w:rsidRPr="00850127">
              <w:t>KCC Concessionary Pass</w:t>
            </w:r>
          </w:p>
        </w:tc>
        <w:tc>
          <w:tcPr>
            <w:tcW w:w="0" w:type="auto"/>
            <w:vAlign w:val="center"/>
            <w:hideMark/>
          </w:tcPr>
          <w:p w14:paraId="7DC05DFD" w14:textId="77777777" w:rsidR="00850127" w:rsidRPr="00850127" w:rsidRDefault="00850127" w:rsidP="00850127"/>
        </w:tc>
        <w:tc>
          <w:tcPr>
            <w:tcW w:w="0" w:type="auto"/>
            <w:vAlign w:val="center"/>
            <w:hideMark/>
          </w:tcPr>
          <w:p w14:paraId="57E2A71F" w14:textId="77777777" w:rsidR="00850127" w:rsidRPr="00850127" w:rsidRDefault="00850127" w:rsidP="00850127">
            <w:r w:rsidRPr="00850127">
              <w:t>2,000</w:t>
            </w:r>
          </w:p>
        </w:tc>
      </w:tr>
      <w:tr w:rsidR="00850127" w:rsidRPr="00850127" w14:paraId="1734F910" w14:textId="77777777" w:rsidTr="00850127">
        <w:trPr>
          <w:tblCellSpacing w:w="15" w:type="dxa"/>
        </w:trPr>
        <w:tc>
          <w:tcPr>
            <w:tcW w:w="0" w:type="auto"/>
            <w:vAlign w:val="center"/>
            <w:hideMark/>
          </w:tcPr>
          <w:p w14:paraId="7CB34901" w14:textId="77777777" w:rsidR="00850127" w:rsidRPr="00850127" w:rsidRDefault="00850127" w:rsidP="00850127">
            <w:r w:rsidRPr="00850127">
              <w:lastRenderedPageBreak/>
              <w:t>Fare-paying Passengers</w:t>
            </w:r>
          </w:p>
        </w:tc>
        <w:tc>
          <w:tcPr>
            <w:tcW w:w="0" w:type="auto"/>
            <w:vAlign w:val="center"/>
            <w:hideMark/>
          </w:tcPr>
          <w:p w14:paraId="0504AC9E" w14:textId="77777777" w:rsidR="00850127" w:rsidRPr="00850127" w:rsidRDefault="00850127" w:rsidP="00850127"/>
        </w:tc>
        <w:tc>
          <w:tcPr>
            <w:tcW w:w="0" w:type="auto"/>
            <w:vAlign w:val="center"/>
            <w:hideMark/>
          </w:tcPr>
          <w:p w14:paraId="1F5EE99D" w14:textId="77777777" w:rsidR="00850127" w:rsidRPr="00850127" w:rsidRDefault="00850127" w:rsidP="00850127">
            <w:r w:rsidRPr="00850127">
              <w:t>1,100</w:t>
            </w:r>
          </w:p>
        </w:tc>
      </w:tr>
      <w:tr w:rsidR="00850127" w:rsidRPr="00850127" w14:paraId="268B5E7A" w14:textId="77777777" w:rsidTr="00850127">
        <w:trPr>
          <w:tblCellSpacing w:w="15" w:type="dxa"/>
        </w:trPr>
        <w:tc>
          <w:tcPr>
            <w:tcW w:w="0" w:type="auto"/>
            <w:vAlign w:val="center"/>
            <w:hideMark/>
          </w:tcPr>
          <w:p w14:paraId="6643AA29" w14:textId="77777777" w:rsidR="00850127" w:rsidRPr="00850127" w:rsidRDefault="00850127" w:rsidP="00850127">
            <w:r w:rsidRPr="00850127">
              <w:t>Sponsorship</w:t>
            </w:r>
          </w:p>
        </w:tc>
        <w:tc>
          <w:tcPr>
            <w:tcW w:w="0" w:type="auto"/>
            <w:vAlign w:val="center"/>
            <w:hideMark/>
          </w:tcPr>
          <w:p w14:paraId="4CE3CE72" w14:textId="77777777" w:rsidR="00850127" w:rsidRPr="00850127" w:rsidRDefault="00850127" w:rsidP="00850127"/>
        </w:tc>
        <w:tc>
          <w:tcPr>
            <w:tcW w:w="0" w:type="auto"/>
            <w:vAlign w:val="center"/>
            <w:hideMark/>
          </w:tcPr>
          <w:p w14:paraId="5A73C64D" w14:textId="77777777" w:rsidR="00850127" w:rsidRPr="00850127" w:rsidRDefault="00850127" w:rsidP="00850127">
            <w:r w:rsidRPr="00850127">
              <w:t>2,000</w:t>
            </w:r>
          </w:p>
        </w:tc>
      </w:tr>
      <w:tr w:rsidR="00850127" w:rsidRPr="00850127" w14:paraId="282AF6DF" w14:textId="77777777" w:rsidTr="00850127">
        <w:trPr>
          <w:tblCellSpacing w:w="15" w:type="dxa"/>
        </w:trPr>
        <w:tc>
          <w:tcPr>
            <w:tcW w:w="0" w:type="auto"/>
            <w:vAlign w:val="center"/>
            <w:hideMark/>
          </w:tcPr>
          <w:p w14:paraId="4BB43461" w14:textId="77777777" w:rsidR="00850127" w:rsidRPr="00850127" w:rsidRDefault="00850127" w:rsidP="00850127">
            <w:r w:rsidRPr="00850127">
              <w:t>BSOG</w:t>
            </w:r>
          </w:p>
        </w:tc>
        <w:tc>
          <w:tcPr>
            <w:tcW w:w="0" w:type="auto"/>
            <w:vAlign w:val="center"/>
            <w:hideMark/>
          </w:tcPr>
          <w:p w14:paraId="5B4A40B5" w14:textId="77777777" w:rsidR="00850127" w:rsidRPr="00850127" w:rsidRDefault="00850127" w:rsidP="00850127"/>
        </w:tc>
        <w:tc>
          <w:tcPr>
            <w:tcW w:w="0" w:type="auto"/>
            <w:vAlign w:val="center"/>
            <w:hideMark/>
          </w:tcPr>
          <w:p w14:paraId="4AA146EE" w14:textId="77777777" w:rsidR="00850127" w:rsidRPr="00850127" w:rsidRDefault="00850127" w:rsidP="00850127">
            <w:r w:rsidRPr="00850127">
              <w:t>Variable</w:t>
            </w:r>
          </w:p>
        </w:tc>
      </w:tr>
      <w:tr w:rsidR="00850127" w:rsidRPr="00850127" w14:paraId="6F546C11" w14:textId="77777777" w:rsidTr="00850127">
        <w:trPr>
          <w:tblCellSpacing w:w="15" w:type="dxa"/>
        </w:trPr>
        <w:tc>
          <w:tcPr>
            <w:tcW w:w="0" w:type="auto"/>
            <w:vAlign w:val="center"/>
            <w:hideMark/>
          </w:tcPr>
          <w:p w14:paraId="134D9DC2" w14:textId="77777777" w:rsidR="00850127" w:rsidRPr="00850127" w:rsidRDefault="00850127" w:rsidP="00850127">
            <w:r w:rsidRPr="00850127">
              <w:t>Parish Council Support</w:t>
            </w:r>
          </w:p>
        </w:tc>
        <w:tc>
          <w:tcPr>
            <w:tcW w:w="0" w:type="auto"/>
            <w:vAlign w:val="center"/>
            <w:hideMark/>
          </w:tcPr>
          <w:p w14:paraId="23A9DFAA" w14:textId="77777777" w:rsidR="00850127" w:rsidRPr="00850127" w:rsidRDefault="00850127" w:rsidP="00850127"/>
        </w:tc>
        <w:tc>
          <w:tcPr>
            <w:tcW w:w="0" w:type="auto"/>
            <w:vAlign w:val="center"/>
            <w:hideMark/>
          </w:tcPr>
          <w:p w14:paraId="46F63B79" w14:textId="77777777" w:rsidR="00850127" w:rsidRPr="00850127" w:rsidRDefault="00850127" w:rsidP="00850127">
            <w:r w:rsidRPr="00850127">
              <w:t>Variable</w:t>
            </w:r>
          </w:p>
        </w:tc>
      </w:tr>
      <w:tr w:rsidR="00850127" w:rsidRPr="00850127" w14:paraId="39AC4A69" w14:textId="77777777" w:rsidTr="00850127">
        <w:trPr>
          <w:tblCellSpacing w:w="15" w:type="dxa"/>
        </w:trPr>
        <w:tc>
          <w:tcPr>
            <w:tcW w:w="0" w:type="auto"/>
            <w:vAlign w:val="center"/>
            <w:hideMark/>
          </w:tcPr>
          <w:p w14:paraId="14C2C396" w14:textId="77777777" w:rsidR="00850127" w:rsidRPr="00850127" w:rsidRDefault="00850127" w:rsidP="00850127">
            <w:r w:rsidRPr="00850127">
              <w:t>Private Hire Potential</w:t>
            </w:r>
          </w:p>
        </w:tc>
        <w:tc>
          <w:tcPr>
            <w:tcW w:w="0" w:type="auto"/>
            <w:vAlign w:val="center"/>
            <w:hideMark/>
          </w:tcPr>
          <w:p w14:paraId="0ED60B44" w14:textId="77777777" w:rsidR="00850127" w:rsidRPr="00850127" w:rsidRDefault="00850127" w:rsidP="00850127"/>
        </w:tc>
        <w:tc>
          <w:tcPr>
            <w:tcW w:w="0" w:type="auto"/>
            <w:vAlign w:val="center"/>
            <w:hideMark/>
          </w:tcPr>
          <w:p w14:paraId="447AE4E7" w14:textId="77777777" w:rsidR="00850127" w:rsidRPr="00850127" w:rsidRDefault="00850127" w:rsidP="00850127">
            <w:r w:rsidRPr="00850127">
              <w:t>TBD</w:t>
            </w:r>
          </w:p>
        </w:tc>
      </w:tr>
      <w:tr w:rsidR="00850127" w:rsidRPr="00850127" w14:paraId="1A6A1171" w14:textId="77777777" w:rsidTr="00850127">
        <w:trPr>
          <w:tblCellSpacing w:w="15" w:type="dxa"/>
        </w:trPr>
        <w:tc>
          <w:tcPr>
            <w:tcW w:w="0" w:type="auto"/>
            <w:vAlign w:val="center"/>
            <w:hideMark/>
          </w:tcPr>
          <w:p w14:paraId="21AF657A" w14:textId="77777777" w:rsidR="00850127" w:rsidRPr="00850127" w:rsidRDefault="00850127" w:rsidP="00850127">
            <w:r w:rsidRPr="00850127">
              <w:rPr>
                <w:b/>
                <w:bCs/>
              </w:rPr>
              <w:t>Total Projected Income</w:t>
            </w:r>
          </w:p>
        </w:tc>
        <w:tc>
          <w:tcPr>
            <w:tcW w:w="0" w:type="auto"/>
            <w:vAlign w:val="center"/>
            <w:hideMark/>
          </w:tcPr>
          <w:p w14:paraId="60D4D029" w14:textId="77777777" w:rsidR="00850127" w:rsidRPr="00850127" w:rsidRDefault="00850127" w:rsidP="00850127"/>
        </w:tc>
        <w:tc>
          <w:tcPr>
            <w:tcW w:w="0" w:type="auto"/>
            <w:vAlign w:val="center"/>
            <w:hideMark/>
          </w:tcPr>
          <w:p w14:paraId="5F42A2BD" w14:textId="77777777" w:rsidR="00850127" w:rsidRPr="00850127" w:rsidRDefault="00850127" w:rsidP="00850127">
            <w:r w:rsidRPr="00850127">
              <w:rPr>
                <w:b/>
                <w:bCs/>
              </w:rPr>
              <w:t>£5,100+</w:t>
            </w:r>
          </w:p>
        </w:tc>
      </w:tr>
      <w:tr w:rsidR="00850127" w:rsidRPr="00850127" w14:paraId="313ED0F1" w14:textId="77777777" w:rsidTr="00850127">
        <w:trPr>
          <w:tblCellSpacing w:w="15" w:type="dxa"/>
        </w:trPr>
        <w:tc>
          <w:tcPr>
            <w:tcW w:w="0" w:type="auto"/>
            <w:vAlign w:val="center"/>
            <w:hideMark/>
          </w:tcPr>
          <w:p w14:paraId="722BDB4A" w14:textId="77777777" w:rsidR="00850127" w:rsidRPr="00850127" w:rsidRDefault="00850127" w:rsidP="00850127"/>
        </w:tc>
        <w:tc>
          <w:tcPr>
            <w:tcW w:w="0" w:type="auto"/>
            <w:vAlign w:val="center"/>
            <w:hideMark/>
          </w:tcPr>
          <w:p w14:paraId="17888B6A" w14:textId="77777777" w:rsidR="00850127" w:rsidRPr="00850127" w:rsidRDefault="00850127" w:rsidP="00850127"/>
        </w:tc>
        <w:tc>
          <w:tcPr>
            <w:tcW w:w="0" w:type="auto"/>
            <w:vAlign w:val="center"/>
            <w:hideMark/>
          </w:tcPr>
          <w:p w14:paraId="6C5919C7" w14:textId="77777777" w:rsidR="00850127" w:rsidRPr="00850127" w:rsidRDefault="00850127" w:rsidP="00850127"/>
        </w:tc>
      </w:tr>
      <w:tr w:rsidR="00850127" w:rsidRPr="00850127" w14:paraId="76AECCCB" w14:textId="77777777" w:rsidTr="00850127">
        <w:trPr>
          <w:tblCellSpacing w:w="15" w:type="dxa"/>
        </w:trPr>
        <w:tc>
          <w:tcPr>
            <w:tcW w:w="0" w:type="auto"/>
            <w:vAlign w:val="center"/>
            <w:hideMark/>
          </w:tcPr>
          <w:p w14:paraId="51E28BE2" w14:textId="77777777" w:rsidR="00850127" w:rsidRPr="00850127" w:rsidRDefault="00850127" w:rsidP="00850127">
            <w:r w:rsidRPr="00850127">
              <w:t>Community Bus Officer</w:t>
            </w:r>
          </w:p>
        </w:tc>
        <w:tc>
          <w:tcPr>
            <w:tcW w:w="0" w:type="auto"/>
            <w:vAlign w:val="center"/>
            <w:hideMark/>
          </w:tcPr>
          <w:p w14:paraId="7B1D513D" w14:textId="77777777" w:rsidR="00850127" w:rsidRPr="00850127" w:rsidRDefault="00850127" w:rsidP="00850127">
            <w:r w:rsidRPr="00850127">
              <w:t>8 hrs/week</w:t>
            </w:r>
          </w:p>
        </w:tc>
        <w:tc>
          <w:tcPr>
            <w:tcW w:w="0" w:type="auto"/>
            <w:vAlign w:val="center"/>
            <w:hideMark/>
          </w:tcPr>
          <w:p w14:paraId="2EC27FD5" w14:textId="77777777" w:rsidR="00850127" w:rsidRPr="00850127" w:rsidRDefault="00850127" w:rsidP="00850127"/>
        </w:tc>
      </w:tr>
      <w:tr w:rsidR="00850127" w:rsidRPr="00850127" w14:paraId="4D9A835D" w14:textId="77777777" w:rsidTr="00850127">
        <w:trPr>
          <w:tblCellSpacing w:w="15" w:type="dxa"/>
        </w:trPr>
        <w:tc>
          <w:tcPr>
            <w:tcW w:w="0" w:type="auto"/>
            <w:vAlign w:val="center"/>
            <w:hideMark/>
          </w:tcPr>
          <w:p w14:paraId="2AF36D5A" w14:textId="77777777" w:rsidR="00850127" w:rsidRPr="00850127" w:rsidRDefault="00850127" w:rsidP="00850127">
            <w:r w:rsidRPr="00850127">
              <w:t>Vehicle Leasing</w:t>
            </w:r>
          </w:p>
        </w:tc>
        <w:tc>
          <w:tcPr>
            <w:tcW w:w="0" w:type="auto"/>
            <w:vAlign w:val="center"/>
            <w:hideMark/>
          </w:tcPr>
          <w:p w14:paraId="57B6D4DC" w14:textId="77777777" w:rsidR="00850127" w:rsidRPr="00850127" w:rsidRDefault="00850127" w:rsidP="00850127">
            <w:r w:rsidRPr="00850127">
              <w:t>17,710.80</w:t>
            </w:r>
          </w:p>
        </w:tc>
        <w:tc>
          <w:tcPr>
            <w:tcW w:w="0" w:type="auto"/>
            <w:vAlign w:val="center"/>
            <w:hideMark/>
          </w:tcPr>
          <w:p w14:paraId="1C10DA7C" w14:textId="77777777" w:rsidR="00850127" w:rsidRPr="00850127" w:rsidRDefault="00850127" w:rsidP="00850127"/>
        </w:tc>
      </w:tr>
      <w:tr w:rsidR="00850127" w:rsidRPr="00850127" w14:paraId="54A185A3" w14:textId="77777777" w:rsidTr="00850127">
        <w:trPr>
          <w:tblCellSpacing w:w="15" w:type="dxa"/>
        </w:trPr>
        <w:tc>
          <w:tcPr>
            <w:tcW w:w="0" w:type="auto"/>
            <w:vAlign w:val="center"/>
            <w:hideMark/>
          </w:tcPr>
          <w:p w14:paraId="3BAE6917" w14:textId="77777777" w:rsidR="00850127" w:rsidRPr="00850127" w:rsidRDefault="00850127" w:rsidP="00850127">
            <w:r w:rsidRPr="00850127">
              <w:t>Insurance</w:t>
            </w:r>
          </w:p>
        </w:tc>
        <w:tc>
          <w:tcPr>
            <w:tcW w:w="0" w:type="auto"/>
            <w:vAlign w:val="center"/>
            <w:hideMark/>
          </w:tcPr>
          <w:p w14:paraId="2D027D2F" w14:textId="77777777" w:rsidR="00850127" w:rsidRPr="00850127" w:rsidRDefault="00850127" w:rsidP="00850127">
            <w:r w:rsidRPr="00850127">
              <w:t>6,440</w:t>
            </w:r>
          </w:p>
        </w:tc>
        <w:tc>
          <w:tcPr>
            <w:tcW w:w="0" w:type="auto"/>
            <w:vAlign w:val="center"/>
            <w:hideMark/>
          </w:tcPr>
          <w:p w14:paraId="53894825" w14:textId="77777777" w:rsidR="00850127" w:rsidRPr="00850127" w:rsidRDefault="00850127" w:rsidP="00850127"/>
        </w:tc>
      </w:tr>
      <w:tr w:rsidR="00850127" w:rsidRPr="00850127" w14:paraId="20FACEFE" w14:textId="77777777" w:rsidTr="00850127">
        <w:trPr>
          <w:tblCellSpacing w:w="15" w:type="dxa"/>
        </w:trPr>
        <w:tc>
          <w:tcPr>
            <w:tcW w:w="0" w:type="auto"/>
            <w:vAlign w:val="center"/>
            <w:hideMark/>
          </w:tcPr>
          <w:p w14:paraId="5390A205" w14:textId="77777777" w:rsidR="00850127" w:rsidRPr="00850127" w:rsidRDefault="00850127" w:rsidP="00850127">
            <w:r w:rsidRPr="00850127">
              <w:t>Fuel</w:t>
            </w:r>
          </w:p>
        </w:tc>
        <w:tc>
          <w:tcPr>
            <w:tcW w:w="0" w:type="auto"/>
            <w:vAlign w:val="center"/>
            <w:hideMark/>
          </w:tcPr>
          <w:p w14:paraId="6EA4718E" w14:textId="77777777" w:rsidR="00850127" w:rsidRPr="00850127" w:rsidRDefault="00850127" w:rsidP="00850127">
            <w:r w:rsidRPr="00850127">
              <w:t>5,200</w:t>
            </w:r>
          </w:p>
        </w:tc>
        <w:tc>
          <w:tcPr>
            <w:tcW w:w="0" w:type="auto"/>
            <w:vAlign w:val="center"/>
            <w:hideMark/>
          </w:tcPr>
          <w:p w14:paraId="35A54953" w14:textId="77777777" w:rsidR="00850127" w:rsidRPr="00850127" w:rsidRDefault="00850127" w:rsidP="00850127"/>
        </w:tc>
      </w:tr>
      <w:tr w:rsidR="00850127" w:rsidRPr="00850127" w14:paraId="251F7E11" w14:textId="77777777" w:rsidTr="00850127">
        <w:trPr>
          <w:tblCellSpacing w:w="15" w:type="dxa"/>
        </w:trPr>
        <w:tc>
          <w:tcPr>
            <w:tcW w:w="0" w:type="auto"/>
            <w:vAlign w:val="center"/>
            <w:hideMark/>
          </w:tcPr>
          <w:p w14:paraId="50E3B7F2" w14:textId="77777777" w:rsidR="00850127" w:rsidRPr="00850127" w:rsidRDefault="00850127" w:rsidP="00850127">
            <w:r w:rsidRPr="00850127">
              <w:t>Ticket Machine License</w:t>
            </w:r>
          </w:p>
        </w:tc>
        <w:tc>
          <w:tcPr>
            <w:tcW w:w="0" w:type="auto"/>
            <w:vAlign w:val="center"/>
            <w:hideMark/>
          </w:tcPr>
          <w:p w14:paraId="4B14984E" w14:textId="77777777" w:rsidR="00850127" w:rsidRPr="00850127" w:rsidRDefault="00850127" w:rsidP="00850127">
            <w:r w:rsidRPr="00850127">
              <w:t>496</w:t>
            </w:r>
          </w:p>
        </w:tc>
        <w:tc>
          <w:tcPr>
            <w:tcW w:w="0" w:type="auto"/>
            <w:vAlign w:val="center"/>
            <w:hideMark/>
          </w:tcPr>
          <w:p w14:paraId="7023B68F" w14:textId="77777777" w:rsidR="00850127" w:rsidRPr="00850127" w:rsidRDefault="00850127" w:rsidP="00850127"/>
        </w:tc>
      </w:tr>
      <w:tr w:rsidR="00850127" w:rsidRPr="00850127" w14:paraId="06079260" w14:textId="77777777" w:rsidTr="00850127">
        <w:trPr>
          <w:tblCellSpacing w:w="15" w:type="dxa"/>
        </w:trPr>
        <w:tc>
          <w:tcPr>
            <w:tcW w:w="0" w:type="auto"/>
            <w:vAlign w:val="center"/>
            <w:hideMark/>
          </w:tcPr>
          <w:p w14:paraId="44341E3A" w14:textId="77777777" w:rsidR="00850127" w:rsidRPr="00850127" w:rsidRDefault="00850127" w:rsidP="00850127">
            <w:r w:rsidRPr="00850127">
              <w:t>Volunteer Training</w:t>
            </w:r>
          </w:p>
        </w:tc>
        <w:tc>
          <w:tcPr>
            <w:tcW w:w="0" w:type="auto"/>
            <w:vAlign w:val="center"/>
            <w:hideMark/>
          </w:tcPr>
          <w:p w14:paraId="1E787EEC" w14:textId="77777777" w:rsidR="00850127" w:rsidRPr="00850127" w:rsidRDefault="00850127" w:rsidP="00850127">
            <w:r w:rsidRPr="00850127">
              <w:t>700</w:t>
            </w:r>
          </w:p>
        </w:tc>
        <w:tc>
          <w:tcPr>
            <w:tcW w:w="0" w:type="auto"/>
            <w:vAlign w:val="center"/>
            <w:hideMark/>
          </w:tcPr>
          <w:p w14:paraId="0FA9F423" w14:textId="77777777" w:rsidR="00850127" w:rsidRPr="00850127" w:rsidRDefault="00850127" w:rsidP="00850127"/>
        </w:tc>
      </w:tr>
      <w:tr w:rsidR="00850127" w:rsidRPr="00850127" w14:paraId="3E8E7BA0" w14:textId="77777777" w:rsidTr="00850127">
        <w:trPr>
          <w:tblCellSpacing w:w="15" w:type="dxa"/>
        </w:trPr>
        <w:tc>
          <w:tcPr>
            <w:tcW w:w="0" w:type="auto"/>
            <w:vAlign w:val="center"/>
            <w:hideMark/>
          </w:tcPr>
          <w:p w14:paraId="6B870E11" w14:textId="77777777" w:rsidR="00850127" w:rsidRPr="00850127" w:rsidRDefault="00850127" w:rsidP="00850127">
            <w:r w:rsidRPr="00850127">
              <w:t>Repairs and Maintenance</w:t>
            </w:r>
          </w:p>
        </w:tc>
        <w:tc>
          <w:tcPr>
            <w:tcW w:w="0" w:type="auto"/>
            <w:vAlign w:val="center"/>
            <w:hideMark/>
          </w:tcPr>
          <w:p w14:paraId="37338DEC" w14:textId="77777777" w:rsidR="00850127" w:rsidRPr="00850127" w:rsidRDefault="00850127" w:rsidP="00850127">
            <w:r w:rsidRPr="00850127">
              <w:t>2,000</w:t>
            </w:r>
          </w:p>
        </w:tc>
        <w:tc>
          <w:tcPr>
            <w:tcW w:w="0" w:type="auto"/>
            <w:vAlign w:val="center"/>
            <w:hideMark/>
          </w:tcPr>
          <w:p w14:paraId="4FD8785E" w14:textId="77777777" w:rsidR="00850127" w:rsidRPr="00850127" w:rsidRDefault="00850127" w:rsidP="00850127"/>
        </w:tc>
      </w:tr>
      <w:tr w:rsidR="00850127" w:rsidRPr="00850127" w14:paraId="7BDD4F5D" w14:textId="77777777" w:rsidTr="00850127">
        <w:trPr>
          <w:tblCellSpacing w:w="15" w:type="dxa"/>
        </w:trPr>
        <w:tc>
          <w:tcPr>
            <w:tcW w:w="0" w:type="auto"/>
            <w:vAlign w:val="center"/>
            <w:hideMark/>
          </w:tcPr>
          <w:p w14:paraId="7B297BEB" w14:textId="77777777" w:rsidR="00850127" w:rsidRPr="00850127" w:rsidRDefault="00850127" w:rsidP="00850127">
            <w:r w:rsidRPr="00850127">
              <w:t>Marketing &amp; Promotion</w:t>
            </w:r>
          </w:p>
        </w:tc>
        <w:tc>
          <w:tcPr>
            <w:tcW w:w="0" w:type="auto"/>
            <w:vAlign w:val="center"/>
            <w:hideMark/>
          </w:tcPr>
          <w:p w14:paraId="0183DB90" w14:textId="77777777" w:rsidR="00850127" w:rsidRPr="00850127" w:rsidRDefault="00850127" w:rsidP="00850127">
            <w:r w:rsidRPr="00850127">
              <w:t>300</w:t>
            </w:r>
          </w:p>
        </w:tc>
        <w:tc>
          <w:tcPr>
            <w:tcW w:w="0" w:type="auto"/>
            <w:vAlign w:val="center"/>
            <w:hideMark/>
          </w:tcPr>
          <w:p w14:paraId="3A8ADA16" w14:textId="77777777" w:rsidR="00850127" w:rsidRPr="00850127" w:rsidRDefault="00850127" w:rsidP="00850127"/>
        </w:tc>
      </w:tr>
      <w:tr w:rsidR="00850127" w:rsidRPr="00850127" w14:paraId="13AC4893" w14:textId="77777777" w:rsidTr="00850127">
        <w:trPr>
          <w:tblCellSpacing w:w="15" w:type="dxa"/>
        </w:trPr>
        <w:tc>
          <w:tcPr>
            <w:tcW w:w="0" w:type="auto"/>
            <w:vAlign w:val="center"/>
            <w:hideMark/>
          </w:tcPr>
          <w:p w14:paraId="743A9220" w14:textId="77777777" w:rsidR="00850127" w:rsidRPr="00850127" w:rsidRDefault="00850127" w:rsidP="00850127">
            <w:r w:rsidRPr="00850127">
              <w:rPr>
                <w:b/>
                <w:bCs/>
              </w:rPr>
              <w:t>Total Projected Costs</w:t>
            </w:r>
          </w:p>
        </w:tc>
        <w:tc>
          <w:tcPr>
            <w:tcW w:w="0" w:type="auto"/>
            <w:vAlign w:val="center"/>
            <w:hideMark/>
          </w:tcPr>
          <w:p w14:paraId="0604D2D6" w14:textId="77777777" w:rsidR="00850127" w:rsidRPr="00850127" w:rsidRDefault="00850127" w:rsidP="00850127"/>
        </w:tc>
        <w:tc>
          <w:tcPr>
            <w:tcW w:w="0" w:type="auto"/>
            <w:vAlign w:val="center"/>
            <w:hideMark/>
          </w:tcPr>
          <w:p w14:paraId="0218FCF1" w14:textId="77777777" w:rsidR="00850127" w:rsidRPr="00850127" w:rsidRDefault="00850127" w:rsidP="00850127">
            <w:r w:rsidRPr="00850127">
              <w:rPr>
                <w:b/>
                <w:bCs/>
              </w:rPr>
              <w:t>£32,846.80</w:t>
            </w:r>
          </w:p>
        </w:tc>
      </w:tr>
    </w:tbl>
    <w:p w14:paraId="5368EA86" w14:textId="77777777" w:rsidR="00850127" w:rsidRPr="00850127" w:rsidRDefault="00850127" w:rsidP="00850127">
      <w:r w:rsidRPr="00850127">
        <w:pict w14:anchorId="384E3546">
          <v:rect id="_x0000_i1059" style="width:0;height:1.5pt" o:hralign="center" o:hrstd="t" o:hr="t" fillcolor="#a0a0a0" stroked="f"/>
        </w:pict>
      </w:r>
    </w:p>
    <w:p w14:paraId="7AF9ED38" w14:textId="77777777" w:rsidR="00850127" w:rsidRPr="00850127" w:rsidRDefault="00850127" w:rsidP="00850127">
      <w:pPr>
        <w:rPr>
          <w:b/>
          <w:bCs/>
        </w:rPr>
      </w:pPr>
      <w:r w:rsidRPr="00850127">
        <w:rPr>
          <w:b/>
          <w:bCs/>
        </w:rPr>
        <w:t>Long-Term Sustainability</w:t>
      </w:r>
    </w:p>
    <w:p w14:paraId="610E75AD" w14:textId="77777777" w:rsidR="00850127" w:rsidRPr="00850127" w:rsidRDefault="00850127" w:rsidP="00850127">
      <w:r w:rsidRPr="00850127">
        <w:t>Continued service improvements, funding diversification, and an increase in community engagement will be crucial. Strategic partnerships with local councils and community organizations can help expand our reach, while potential electric vehicle integration aligns with our long-term sustainability goals.</w:t>
      </w:r>
    </w:p>
    <w:p w14:paraId="02C56344" w14:textId="77777777" w:rsidR="00850127" w:rsidRPr="00850127" w:rsidRDefault="00850127" w:rsidP="00850127">
      <w:r w:rsidRPr="00850127">
        <w:t>This business plan will be reviewed annually to ensure The Hopper’s objectives, operational practices, and community impact remain aligned with both evolving local needs and financial viability.</w:t>
      </w:r>
    </w:p>
    <w:p w14:paraId="515165AD" w14:textId="77777777" w:rsidR="00850127" w:rsidRDefault="00850127"/>
    <w:sectPr w:rsidR="008501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065E7"/>
    <w:multiLevelType w:val="multilevel"/>
    <w:tmpl w:val="15305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3A2642"/>
    <w:multiLevelType w:val="multilevel"/>
    <w:tmpl w:val="F2EA7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AD1C5B"/>
    <w:multiLevelType w:val="multilevel"/>
    <w:tmpl w:val="E878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0D7E67"/>
    <w:multiLevelType w:val="multilevel"/>
    <w:tmpl w:val="FAA63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6106B6"/>
    <w:multiLevelType w:val="multilevel"/>
    <w:tmpl w:val="3B7ED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2B4F79"/>
    <w:multiLevelType w:val="multilevel"/>
    <w:tmpl w:val="42DA2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0A1BB4"/>
    <w:multiLevelType w:val="multilevel"/>
    <w:tmpl w:val="1C08E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6472626">
    <w:abstractNumId w:val="2"/>
  </w:num>
  <w:num w:numId="2" w16cid:durableId="2068414010">
    <w:abstractNumId w:val="1"/>
  </w:num>
  <w:num w:numId="3" w16cid:durableId="822350188">
    <w:abstractNumId w:val="4"/>
  </w:num>
  <w:num w:numId="4" w16cid:durableId="56171013">
    <w:abstractNumId w:val="0"/>
  </w:num>
  <w:num w:numId="5" w16cid:durableId="86732694">
    <w:abstractNumId w:val="5"/>
  </w:num>
  <w:num w:numId="6" w16cid:durableId="1437826465">
    <w:abstractNumId w:val="3"/>
  </w:num>
  <w:num w:numId="7" w16cid:durableId="11546431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27"/>
    <w:rsid w:val="004C0030"/>
    <w:rsid w:val="00850127"/>
    <w:rsid w:val="00DE2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A9850"/>
  <w15:chartTrackingRefBased/>
  <w15:docId w15:val="{D8D6D3D7-8ACC-4247-A25E-AFD466B4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01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01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01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01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01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01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01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01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01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1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01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01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01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01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01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01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01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0127"/>
    <w:rPr>
      <w:rFonts w:eastAsiaTheme="majorEastAsia" w:cstheme="majorBidi"/>
      <w:color w:val="272727" w:themeColor="text1" w:themeTint="D8"/>
    </w:rPr>
  </w:style>
  <w:style w:type="paragraph" w:styleId="Title">
    <w:name w:val="Title"/>
    <w:basedOn w:val="Normal"/>
    <w:next w:val="Normal"/>
    <w:link w:val="TitleChar"/>
    <w:uiPriority w:val="10"/>
    <w:qFormat/>
    <w:rsid w:val="008501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01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01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01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0127"/>
    <w:pPr>
      <w:spacing w:before="160"/>
      <w:jc w:val="center"/>
    </w:pPr>
    <w:rPr>
      <w:i/>
      <w:iCs/>
      <w:color w:val="404040" w:themeColor="text1" w:themeTint="BF"/>
    </w:rPr>
  </w:style>
  <w:style w:type="character" w:customStyle="1" w:styleId="QuoteChar">
    <w:name w:val="Quote Char"/>
    <w:basedOn w:val="DefaultParagraphFont"/>
    <w:link w:val="Quote"/>
    <w:uiPriority w:val="29"/>
    <w:rsid w:val="00850127"/>
    <w:rPr>
      <w:i/>
      <w:iCs/>
      <w:color w:val="404040" w:themeColor="text1" w:themeTint="BF"/>
    </w:rPr>
  </w:style>
  <w:style w:type="paragraph" w:styleId="ListParagraph">
    <w:name w:val="List Paragraph"/>
    <w:basedOn w:val="Normal"/>
    <w:uiPriority w:val="34"/>
    <w:qFormat/>
    <w:rsid w:val="00850127"/>
    <w:pPr>
      <w:ind w:left="720"/>
      <w:contextualSpacing/>
    </w:pPr>
  </w:style>
  <w:style w:type="character" w:styleId="IntenseEmphasis">
    <w:name w:val="Intense Emphasis"/>
    <w:basedOn w:val="DefaultParagraphFont"/>
    <w:uiPriority w:val="21"/>
    <w:qFormat/>
    <w:rsid w:val="00850127"/>
    <w:rPr>
      <w:i/>
      <w:iCs/>
      <w:color w:val="0F4761" w:themeColor="accent1" w:themeShade="BF"/>
    </w:rPr>
  </w:style>
  <w:style w:type="paragraph" w:styleId="IntenseQuote">
    <w:name w:val="Intense Quote"/>
    <w:basedOn w:val="Normal"/>
    <w:next w:val="Normal"/>
    <w:link w:val="IntenseQuoteChar"/>
    <w:uiPriority w:val="30"/>
    <w:qFormat/>
    <w:rsid w:val="008501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0127"/>
    <w:rPr>
      <w:i/>
      <w:iCs/>
      <w:color w:val="0F4761" w:themeColor="accent1" w:themeShade="BF"/>
    </w:rPr>
  </w:style>
  <w:style w:type="character" w:styleId="IntenseReference">
    <w:name w:val="Intense Reference"/>
    <w:basedOn w:val="DefaultParagraphFont"/>
    <w:uiPriority w:val="32"/>
    <w:qFormat/>
    <w:rsid w:val="008501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49226">
      <w:bodyDiv w:val="1"/>
      <w:marLeft w:val="0"/>
      <w:marRight w:val="0"/>
      <w:marTop w:val="0"/>
      <w:marBottom w:val="0"/>
      <w:divBdr>
        <w:top w:val="none" w:sz="0" w:space="0" w:color="auto"/>
        <w:left w:val="none" w:sz="0" w:space="0" w:color="auto"/>
        <w:bottom w:val="none" w:sz="0" w:space="0" w:color="auto"/>
        <w:right w:val="none" w:sz="0" w:space="0" w:color="auto"/>
      </w:divBdr>
    </w:div>
    <w:div w:id="31221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796</Words>
  <Characters>4543</Characters>
  <Application>Microsoft Office Word</Application>
  <DocSecurity>0</DocSecurity>
  <Lines>37</Lines>
  <Paragraphs>10</Paragraphs>
  <ScaleCrop>false</ScaleCrop>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Bareham</dc:creator>
  <cp:keywords/>
  <dc:description/>
  <cp:lastModifiedBy>Louise Bareham</cp:lastModifiedBy>
  <cp:revision>2</cp:revision>
  <dcterms:created xsi:type="dcterms:W3CDTF">2024-11-08T10:04:00Z</dcterms:created>
  <dcterms:modified xsi:type="dcterms:W3CDTF">2024-11-08T10:05:00Z</dcterms:modified>
</cp:coreProperties>
</file>