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59336480" w:displacedByCustomXml="next"/>
    <w:sdt>
      <w:sdtPr>
        <w:id w:val="1641916059"/>
        <w:docPartObj>
          <w:docPartGallery w:val="Cover Pages"/>
          <w:docPartUnique/>
        </w:docPartObj>
      </w:sdtPr>
      <w:sdtEndPr>
        <w:rPr>
          <w:b/>
          <w:bCs/>
          <w:color w:val="808080"/>
          <w:sz w:val="56"/>
          <w:szCs w:val="28"/>
        </w:rPr>
      </w:sdtEndPr>
      <w:sdtContent>
        <w:p w14:paraId="1BC58C49" w14:textId="4F928C64" w:rsidR="00C4043E" w:rsidRDefault="00C4043E">
          <w:r>
            <w:rPr>
              <w:noProof/>
            </w:rPr>
            <mc:AlternateContent>
              <mc:Choice Requires="wpg">
                <w:drawing>
                  <wp:anchor distT="0" distB="0" distL="114300" distR="114300" simplePos="0" relativeHeight="251662336" behindDoc="0" locked="0" layoutInCell="1" allowOverlap="1" wp14:anchorId="04A38E3C" wp14:editId="119452BD">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E620758"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954f72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0236E652" wp14:editId="63986569">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6985"/>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38766" w14:textId="1C019B52" w:rsidR="00C4043E" w:rsidRDefault="00C4043E">
                                <w:pPr>
                                  <w:pStyle w:val="NoSpacing"/>
                                  <w:jc w:val="right"/>
                                  <w:rPr>
                                    <w:color w:val="828282" w:themeColor="text1" w:themeTint="A6"/>
                                    <w:sz w:val="18"/>
                                    <w:szCs w:val="18"/>
                                  </w:rPr>
                                </w:pPr>
                                <w:r>
                                  <w:rPr>
                                    <w:noProof/>
                                    <w:color w:val="828282" w:themeColor="text1" w:themeTint="A6"/>
                                    <w:sz w:val="18"/>
                                    <w:szCs w:val="18"/>
                                  </w:rPr>
                                  <w:drawing>
                                    <wp:inline distT="0" distB="0" distL="0" distR="0" wp14:anchorId="04B057BC" wp14:editId="562E21FE">
                                      <wp:extent cx="2428875" cy="910084"/>
                                      <wp:effectExtent l="0" t="0" r="0" b="4445"/>
                                      <wp:docPr id="120167966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679661" name="Picture 1" descr="A black and whit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436688" cy="913011"/>
                                              </a:xfrm>
                                              <a:prstGeom prst="rect">
                                                <a:avLst/>
                                              </a:prstGeom>
                                            </pic:spPr>
                                          </pic:pic>
                                        </a:graphicData>
                                      </a:graphic>
                                    </wp:inline>
                                  </w:drawing>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236E652" id="_x0000_t202" coordsize="21600,21600" o:spt="202" path="m,l,21600r21600,l21600,xe">
                    <v:stroke joinstyle="miter"/>
                    <v:path gradientshapeok="t" o:connecttype="rect"/>
                  </v:shapetype>
                  <v:shape id="Text Box 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4A438766" w14:textId="1C019B52" w:rsidR="00C4043E" w:rsidRDefault="00C4043E">
                          <w:pPr>
                            <w:pStyle w:val="NoSpacing"/>
                            <w:jc w:val="right"/>
                            <w:rPr>
                              <w:color w:val="828282" w:themeColor="text1" w:themeTint="A6"/>
                              <w:sz w:val="18"/>
                              <w:szCs w:val="18"/>
                            </w:rPr>
                          </w:pPr>
                          <w:r>
                            <w:rPr>
                              <w:noProof/>
                              <w:color w:val="828282" w:themeColor="text1" w:themeTint="A6"/>
                              <w:sz w:val="18"/>
                              <w:szCs w:val="18"/>
                            </w:rPr>
                            <w:drawing>
                              <wp:inline distT="0" distB="0" distL="0" distR="0" wp14:anchorId="04B057BC" wp14:editId="562E21FE">
                                <wp:extent cx="2428875" cy="910084"/>
                                <wp:effectExtent l="0" t="0" r="0" b="4445"/>
                                <wp:docPr id="120167966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679661" name="Picture 1" descr="A black and whit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36688" cy="913011"/>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81DCDCC" wp14:editId="4420C4E6">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861A1" w14:textId="2A07BD35" w:rsidR="00C4043E" w:rsidRPr="00C4043E" w:rsidRDefault="00DC4AAE">
                                <w:pPr>
                                  <w:jc w:val="right"/>
                                  <w:rPr>
                                    <w:color w:val="954F72" w:themeColor="accent1"/>
                                    <w:sz w:val="96"/>
                                    <w:szCs w:val="96"/>
                                  </w:rPr>
                                </w:pPr>
                                <w:sdt>
                                  <w:sdtPr>
                                    <w:rPr>
                                      <w:caps/>
                                      <w:color w:val="954F72" w:themeColor="accent1"/>
                                      <w:sz w:val="96"/>
                                      <w:szCs w:val="9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4043E" w:rsidRPr="00C4043E">
                                      <w:rPr>
                                        <w:caps/>
                                        <w:color w:val="954F72" w:themeColor="accent1"/>
                                        <w:sz w:val="96"/>
                                        <w:szCs w:val="96"/>
                                      </w:rPr>
                                      <w:t>General reserves policy</w:t>
                                    </w:r>
                                  </w:sdtContent>
                                </w:sdt>
                              </w:p>
                              <w:p w14:paraId="61163C7F" w14:textId="3166C9B1" w:rsidR="00C4043E" w:rsidRDefault="00C4043E">
                                <w:pPr>
                                  <w:jc w:val="right"/>
                                  <w:rPr>
                                    <w:smallCaps/>
                                    <w:color w:val="6F6F6F"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81DCDCC" id="Text Box 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4E8861A1" w14:textId="2A07BD35" w:rsidR="00C4043E" w:rsidRPr="00C4043E" w:rsidRDefault="00C4043E">
                          <w:pPr>
                            <w:jc w:val="right"/>
                            <w:rPr>
                              <w:color w:val="954F72" w:themeColor="accent1"/>
                              <w:sz w:val="96"/>
                              <w:szCs w:val="96"/>
                            </w:rPr>
                          </w:pPr>
                          <w:sdt>
                            <w:sdtPr>
                              <w:rPr>
                                <w:caps/>
                                <w:color w:val="954F72" w:themeColor="accent1"/>
                                <w:sz w:val="96"/>
                                <w:szCs w:val="9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C4043E">
                                <w:rPr>
                                  <w:caps/>
                                  <w:color w:val="954F72" w:themeColor="accent1"/>
                                  <w:sz w:val="96"/>
                                  <w:szCs w:val="96"/>
                                </w:rPr>
                                <w:t>General reserves policy</w:t>
                              </w:r>
                            </w:sdtContent>
                          </w:sdt>
                        </w:p>
                        <w:p w14:paraId="61163C7F" w14:textId="3166C9B1" w:rsidR="00C4043E" w:rsidRDefault="00C4043E">
                          <w:pPr>
                            <w:jc w:val="right"/>
                            <w:rPr>
                              <w:smallCaps/>
                              <w:color w:val="6F6F6F" w:themeColor="text1" w:themeTint="BF"/>
                              <w:sz w:val="36"/>
                              <w:szCs w:val="36"/>
                            </w:rPr>
                          </w:pPr>
                        </w:p>
                      </w:txbxContent>
                    </v:textbox>
                    <w10:wrap type="square" anchorx="page" anchory="page"/>
                  </v:shape>
                </w:pict>
              </mc:Fallback>
            </mc:AlternateContent>
          </w:r>
        </w:p>
        <w:p w14:paraId="3566EBED" w14:textId="0E720627" w:rsidR="00C4043E" w:rsidRDefault="00C4043E">
          <w:pPr>
            <w:rPr>
              <w:b/>
              <w:bCs/>
              <w:color w:val="808080"/>
              <w:sz w:val="56"/>
              <w:szCs w:val="28"/>
            </w:rPr>
          </w:pPr>
          <w:r>
            <w:rPr>
              <w:b/>
              <w:bCs/>
              <w:color w:val="808080"/>
              <w:sz w:val="56"/>
              <w:szCs w:val="28"/>
            </w:rPr>
            <w:br w:type="page"/>
          </w:r>
        </w:p>
      </w:sdtContent>
    </w:sdt>
    <w:p w14:paraId="14AE4A5D" w14:textId="42DAE251" w:rsidR="004F4E19" w:rsidRPr="00BC6E05" w:rsidRDefault="004F4E19" w:rsidP="004F4E19">
      <w:pPr>
        <w:jc w:val="center"/>
        <w:rPr>
          <w:b/>
          <w:bCs/>
          <w:color w:val="808080"/>
          <w:sz w:val="56"/>
          <w:szCs w:val="28"/>
        </w:rPr>
      </w:pPr>
    </w:p>
    <w:bookmarkEnd w:id="0" w:displacedByCustomXml="next"/>
    <w:sdt>
      <w:sdtPr>
        <w:rPr>
          <w:rFonts w:asciiTheme="minorHAnsi" w:eastAsiaTheme="minorHAnsi" w:hAnsiTheme="minorHAnsi" w:cstheme="minorBidi"/>
          <w:color w:val="auto"/>
          <w:sz w:val="22"/>
          <w:szCs w:val="22"/>
          <w:lang w:val="en-GB"/>
        </w:rPr>
        <w:id w:val="61539677"/>
        <w:docPartObj>
          <w:docPartGallery w:val="Table of Contents"/>
          <w:docPartUnique/>
        </w:docPartObj>
      </w:sdtPr>
      <w:sdtEndPr>
        <w:rPr>
          <w:b/>
          <w:bCs/>
          <w:noProof/>
        </w:rPr>
      </w:sdtEndPr>
      <w:sdtContent>
        <w:p w14:paraId="60FF794A" w14:textId="2921696A" w:rsidR="00C4043E" w:rsidRDefault="00C4043E">
          <w:pPr>
            <w:pStyle w:val="TOCHeading"/>
          </w:pPr>
          <w:r>
            <w:t>Contents</w:t>
          </w:r>
        </w:p>
        <w:p w14:paraId="3AD88C41" w14:textId="47152879" w:rsidR="00C4043E" w:rsidRDefault="00C4043E">
          <w:pPr>
            <w:pStyle w:val="TOC2"/>
            <w:tabs>
              <w:tab w:val="right" w:leader="dot" w:pos="9016"/>
            </w:tabs>
            <w:rPr>
              <w:noProof/>
            </w:rPr>
          </w:pPr>
          <w:r>
            <w:fldChar w:fldCharType="begin"/>
          </w:r>
          <w:r>
            <w:instrText xml:space="preserve"> TOC \o "1-3" \h \z \u </w:instrText>
          </w:r>
          <w:r>
            <w:fldChar w:fldCharType="separate"/>
          </w:r>
          <w:hyperlink w:anchor="_Toc164701456" w:history="1">
            <w:r w:rsidRPr="005D058B">
              <w:rPr>
                <w:rStyle w:val="Hyperlink"/>
                <w:noProof/>
              </w:rPr>
              <w:t>TOWN COUNCIL RESERVES</w:t>
            </w:r>
            <w:r>
              <w:rPr>
                <w:noProof/>
                <w:webHidden/>
              </w:rPr>
              <w:tab/>
            </w:r>
            <w:r>
              <w:rPr>
                <w:noProof/>
                <w:webHidden/>
              </w:rPr>
              <w:fldChar w:fldCharType="begin"/>
            </w:r>
            <w:r>
              <w:rPr>
                <w:noProof/>
                <w:webHidden/>
              </w:rPr>
              <w:instrText xml:space="preserve"> PAGEREF _Toc164701456 \h </w:instrText>
            </w:r>
            <w:r>
              <w:rPr>
                <w:noProof/>
                <w:webHidden/>
              </w:rPr>
            </w:r>
            <w:r>
              <w:rPr>
                <w:noProof/>
                <w:webHidden/>
              </w:rPr>
              <w:fldChar w:fldCharType="separate"/>
            </w:r>
            <w:r>
              <w:rPr>
                <w:noProof/>
                <w:webHidden/>
              </w:rPr>
              <w:t>2</w:t>
            </w:r>
            <w:r>
              <w:rPr>
                <w:noProof/>
                <w:webHidden/>
              </w:rPr>
              <w:fldChar w:fldCharType="end"/>
            </w:r>
          </w:hyperlink>
        </w:p>
        <w:p w14:paraId="20896AEA" w14:textId="063554FA" w:rsidR="00C4043E" w:rsidRDefault="00C4043E">
          <w:pPr>
            <w:pStyle w:val="TOC2"/>
            <w:tabs>
              <w:tab w:val="right" w:leader="dot" w:pos="9016"/>
            </w:tabs>
            <w:rPr>
              <w:noProof/>
            </w:rPr>
          </w:pPr>
          <w:hyperlink w:anchor="_Toc164701457" w:history="1">
            <w:r w:rsidRPr="005D058B">
              <w:rPr>
                <w:rStyle w:val="Hyperlink"/>
                <w:noProof/>
              </w:rPr>
              <w:t>TYPES OF RESERVES</w:t>
            </w:r>
            <w:r>
              <w:rPr>
                <w:noProof/>
                <w:webHidden/>
              </w:rPr>
              <w:tab/>
            </w:r>
            <w:r>
              <w:rPr>
                <w:noProof/>
                <w:webHidden/>
              </w:rPr>
              <w:fldChar w:fldCharType="begin"/>
            </w:r>
            <w:r>
              <w:rPr>
                <w:noProof/>
                <w:webHidden/>
              </w:rPr>
              <w:instrText xml:space="preserve"> PAGEREF _Toc164701457 \h </w:instrText>
            </w:r>
            <w:r>
              <w:rPr>
                <w:noProof/>
                <w:webHidden/>
              </w:rPr>
            </w:r>
            <w:r>
              <w:rPr>
                <w:noProof/>
                <w:webHidden/>
              </w:rPr>
              <w:fldChar w:fldCharType="separate"/>
            </w:r>
            <w:r>
              <w:rPr>
                <w:noProof/>
                <w:webHidden/>
              </w:rPr>
              <w:t>2</w:t>
            </w:r>
            <w:r>
              <w:rPr>
                <w:noProof/>
                <w:webHidden/>
              </w:rPr>
              <w:fldChar w:fldCharType="end"/>
            </w:r>
          </w:hyperlink>
        </w:p>
        <w:p w14:paraId="52D7498E" w14:textId="191A3233" w:rsidR="00C4043E" w:rsidRDefault="00C4043E">
          <w:pPr>
            <w:pStyle w:val="TOC3"/>
            <w:tabs>
              <w:tab w:val="right" w:leader="dot" w:pos="9016"/>
            </w:tabs>
            <w:rPr>
              <w:noProof/>
            </w:rPr>
          </w:pPr>
          <w:hyperlink w:anchor="_Toc164701458" w:history="1">
            <w:r w:rsidRPr="005D058B">
              <w:rPr>
                <w:rStyle w:val="Hyperlink"/>
                <w:noProof/>
              </w:rPr>
              <w:t>Earmarked Reserves</w:t>
            </w:r>
            <w:r>
              <w:rPr>
                <w:noProof/>
                <w:webHidden/>
              </w:rPr>
              <w:tab/>
            </w:r>
            <w:r>
              <w:rPr>
                <w:noProof/>
                <w:webHidden/>
              </w:rPr>
              <w:fldChar w:fldCharType="begin"/>
            </w:r>
            <w:r>
              <w:rPr>
                <w:noProof/>
                <w:webHidden/>
              </w:rPr>
              <w:instrText xml:space="preserve"> PAGEREF _Toc164701458 \h </w:instrText>
            </w:r>
            <w:r>
              <w:rPr>
                <w:noProof/>
                <w:webHidden/>
              </w:rPr>
            </w:r>
            <w:r>
              <w:rPr>
                <w:noProof/>
                <w:webHidden/>
              </w:rPr>
              <w:fldChar w:fldCharType="separate"/>
            </w:r>
            <w:r>
              <w:rPr>
                <w:noProof/>
                <w:webHidden/>
              </w:rPr>
              <w:t>2</w:t>
            </w:r>
            <w:r>
              <w:rPr>
                <w:noProof/>
                <w:webHidden/>
              </w:rPr>
              <w:fldChar w:fldCharType="end"/>
            </w:r>
          </w:hyperlink>
        </w:p>
        <w:p w14:paraId="282DAF6B" w14:textId="293F1DD1" w:rsidR="00C4043E" w:rsidRDefault="00C4043E">
          <w:pPr>
            <w:pStyle w:val="TOC3"/>
            <w:tabs>
              <w:tab w:val="right" w:leader="dot" w:pos="9016"/>
            </w:tabs>
            <w:rPr>
              <w:noProof/>
            </w:rPr>
          </w:pPr>
          <w:hyperlink w:anchor="_Toc164701459" w:history="1">
            <w:r w:rsidRPr="005D058B">
              <w:rPr>
                <w:rStyle w:val="Hyperlink"/>
                <w:noProof/>
              </w:rPr>
              <w:t>General Reserves</w:t>
            </w:r>
            <w:r>
              <w:rPr>
                <w:noProof/>
                <w:webHidden/>
              </w:rPr>
              <w:tab/>
            </w:r>
            <w:r>
              <w:rPr>
                <w:noProof/>
                <w:webHidden/>
              </w:rPr>
              <w:fldChar w:fldCharType="begin"/>
            </w:r>
            <w:r>
              <w:rPr>
                <w:noProof/>
                <w:webHidden/>
              </w:rPr>
              <w:instrText xml:space="preserve"> PAGEREF _Toc164701459 \h </w:instrText>
            </w:r>
            <w:r>
              <w:rPr>
                <w:noProof/>
                <w:webHidden/>
              </w:rPr>
            </w:r>
            <w:r>
              <w:rPr>
                <w:noProof/>
                <w:webHidden/>
              </w:rPr>
              <w:fldChar w:fldCharType="separate"/>
            </w:r>
            <w:r>
              <w:rPr>
                <w:noProof/>
                <w:webHidden/>
              </w:rPr>
              <w:t>3</w:t>
            </w:r>
            <w:r>
              <w:rPr>
                <w:noProof/>
                <w:webHidden/>
              </w:rPr>
              <w:fldChar w:fldCharType="end"/>
            </w:r>
          </w:hyperlink>
        </w:p>
        <w:p w14:paraId="7BAF65BF" w14:textId="0211D794" w:rsidR="00C4043E" w:rsidRDefault="00C4043E">
          <w:pPr>
            <w:pStyle w:val="TOC2"/>
            <w:tabs>
              <w:tab w:val="right" w:leader="dot" w:pos="9016"/>
            </w:tabs>
            <w:rPr>
              <w:noProof/>
            </w:rPr>
          </w:pPr>
          <w:hyperlink w:anchor="_Toc164701460" w:history="1">
            <w:r w:rsidRPr="005D058B">
              <w:rPr>
                <w:rStyle w:val="Hyperlink"/>
                <w:noProof/>
              </w:rPr>
              <w:t>PURPOSE OF GENERAL FUND RESERVES</w:t>
            </w:r>
            <w:r>
              <w:rPr>
                <w:noProof/>
                <w:webHidden/>
              </w:rPr>
              <w:tab/>
            </w:r>
            <w:r>
              <w:rPr>
                <w:noProof/>
                <w:webHidden/>
              </w:rPr>
              <w:fldChar w:fldCharType="begin"/>
            </w:r>
            <w:r>
              <w:rPr>
                <w:noProof/>
                <w:webHidden/>
              </w:rPr>
              <w:instrText xml:space="preserve"> PAGEREF _Toc164701460 \h </w:instrText>
            </w:r>
            <w:r>
              <w:rPr>
                <w:noProof/>
                <w:webHidden/>
              </w:rPr>
            </w:r>
            <w:r>
              <w:rPr>
                <w:noProof/>
                <w:webHidden/>
              </w:rPr>
              <w:fldChar w:fldCharType="separate"/>
            </w:r>
            <w:r>
              <w:rPr>
                <w:noProof/>
                <w:webHidden/>
              </w:rPr>
              <w:t>3</w:t>
            </w:r>
            <w:r>
              <w:rPr>
                <w:noProof/>
                <w:webHidden/>
              </w:rPr>
              <w:fldChar w:fldCharType="end"/>
            </w:r>
          </w:hyperlink>
        </w:p>
        <w:p w14:paraId="12DF5457" w14:textId="49A61CFF" w:rsidR="00C4043E" w:rsidRDefault="00C4043E">
          <w:pPr>
            <w:pStyle w:val="TOC2"/>
            <w:tabs>
              <w:tab w:val="right" w:leader="dot" w:pos="9016"/>
            </w:tabs>
            <w:rPr>
              <w:noProof/>
            </w:rPr>
          </w:pPr>
          <w:hyperlink w:anchor="_Toc164701461" w:history="1">
            <w:r w:rsidRPr="005D058B">
              <w:rPr>
                <w:rStyle w:val="Hyperlink"/>
                <w:noProof/>
              </w:rPr>
              <w:t>GENERAL FUND RESERVE – RISK ASSESSMENT</w:t>
            </w:r>
            <w:r>
              <w:rPr>
                <w:noProof/>
                <w:webHidden/>
              </w:rPr>
              <w:tab/>
            </w:r>
            <w:r>
              <w:rPr>
                <w:noProof/>
                <w:webHidden/>
              </w:rPr>
              <w:fldChar w:fldCharType="begin"/>
            </w:r>
            <w:r>
              <w:rPr>
                <w:noProof/>
                <w:webHidden/>
              </w:rPr>
              <w:instrText xml:space="preserve"> PAGEREF _Toc164701461 \h </w:instrText>
            </w:r>
            <w:r>
              <w:rPr>
                <w:noProof/>
                <w:webHidden/>
              </w:rPr>
            </w:r>
            <w:r>
              <w:rPr>
                <w:noProof/>
                <w:webHidden/>
              </w:rPr>
              <w:fldChar w:fldCharType="separate"/>
            </w:r>
            <w:r>
              <w:rPr>
                <w:noProof/>
                <w:webHidden/>
              </w:rPr>
              <w:t>3</w:t>
            </w:r>
            <w:r>
              <w:rPr>
                <w:noProof/>
                <w:webHidden/>
              </w:rPr>
              <w:fldChar w:fldCharType="end"/>
            </w:r>
          </w:hyperlink>
        </w:p>
        <w:p w14:paraId="1CB33C23" w14:textId="027C0F03" w:rsidR="00C4043E" w:rsidRDefault="00C4043E">
          <w:pPr>
            <w:pStyle w:val="TOC2"/>
            <w:tabs>
              <w:tab w:val="right" w:leader="dot" w:pos="9016"/>
            </w:tabs>
            <w:rPr>
              <w:noProof/>
            </w:rPr>
          </w:pPr>
          <w:hyperlink w:anchor="_Toc164701462" w:history="1">
            <w:r w:rsidRPr="005D058B">
              <w:rPr>
                <w:rStyle w:val="Hyperlink"/>
                <w:noProof/>
              </w:rPr>
              <w:t>ASSESSMENT OF POTENTIAL RISKS (</w:t>
            </w:r>
            <w:r w:rsidRPr="005D058B">
              <w:rPr>
                <w:rStyle w:val="Hyperlink"/>
                <w:i/>
                <w:iCs/>
                <w:noProof/>
              </w:rPr>
              <w:t>NOT COVERED BY INSURANCE</w:t>
            </w:r>
            <w:r w:rsidRPr="005D058B">
              <w:rPr>
                <w:rStyle w:val="Hyperlink"/>
                <w:noProof/>
              </w:rPr>
              <w:t>)</w:t>
            </w:r>
            <w:r>
              <w:rPr>
                <w:noProof/>
                <w:webHidden/>
              </w:rPr>
              <w:tab/>
            </w:r>
            <w:r>
              <w:rPr>
                <w:noProof/>
                <w:webHidden/>
              </w:rPr>
              <w:fldChar w:fldCharType="begin"/>
            </w:r>
            <w:r>
              <w:rPr>
                <w:noProof/>
                <w:webHidden/>
              </w:rPr>
              <w:instrText xml:space="preserve"> PAGEREF _Toc164701462 \h </w:instrText>
            </w:r>
            <w:r>
              <w:rPr>
                <w:noProof/>
                <w:webHidden/>
              </w:rPr>
            </w:r>
            <w:r>
              <w:rPr>
                <w:noProof/>
                <w:webHidden/>
              </w:rPr>
              <w:fldChar w:fldCharType="separate"/>
            </w:r>
            <w:r>
              <w:rPr>
                <w:noProof/>
                <w:webHidden/>
              </w:rPr>
              <w:t>3</w:t>
            </w:r>
            <w:r>
              <w:rPr>
                <w:noProof/>
                <w:webHidden/>
              </w:rPr>
              <w:fldChar w:fldCharType="end"/>
            </w:r>
          </w:hyperlink>
        </w:p>
        <w:p w14:paraId="2316DCD7" w14:textId="26DD565F" w:rsidR="00C4043E" w:rsidRDefault="00C4043E">
          <w:pPr>
            <w:pStyle w:val="TOC2"/>
            <w:tabs>
              <w:tab w:val="right" w:leader="dot" w:pos="9016"/>
            </w:tabs>
            <w:rPr>
              <w:noProof/>
            </w:rPr>
          </w:pPr>
          <w:hyperlink w:anchor="_Toc164701463" w:history="1">
            <w:r w:rsidRPr="005D058B">
              <w:rPr>
                <w:rStyle w:val="Hyperlink"/>
                <w:noProof/>
              </w:rPr>
              <w:t>ROLE OF RESPONSIBLE FINANCE OFFICER</w:t>
            </w:r>
            <w:r>
              <w:rPr>
                <w:noProof/>
                <w:webHidden/>
              </w:rPr>
              <w:tab/>
            </w:r>
            <w:r>
              <w:rPr>
                <w:noProof/>
                <w:webHidden/>
              </w:rPr>
              <w:fldChar w:fldCharType="begin"/>
            </w:r>
            <w:r>
              <w:rPr>
                <w:noProof/>
                <w:webHidden/>
              </w:rPr>
              <w:instrText xml:space="preserve"> PAGEREF _Toc164701463 \h </w:instrText>
            </w:r>
            <w:r>
              <w:rPr>
                <w:noProof/>
                <w:webHidden/>
              </w:rPr>
            </w:r>
            <w:r>
              <w:rPr>
                <w:noProof/>
                <w:webHidden/>
              </w:rPr>
              <w:fldChar w:fldCharType="separate"/>
            </w:r>
            <w:r>
              <w:rPr>
                <w:noProof/>
                <w:webHidden/>
              </w:rPr>
              <w:t>5</w:t>
            </w:r>
            <w:r>
              <w:rPr>
                <w:noProof/>
                <w:webHidden/>
              </w:rPr>
              <w:fldChar w:fldCharType="end"/>
            </w:r>
          </w:hyperlink>
        </w:p>
        <w:p w14:paraId="3F22DA94" w14:textId="53D2545B" w:rsidR="00C4043E" w:rsidRDefault="00C4043E">
          <w:pPr>
            <w:pStyle w:val="TOC2"/>
            <w:tabs>
              <w:tab w:val="right" w:leader="dot" w:pos="9016"/>
            </w:tabs>
            <w:rPr>
              <w:noProof/>
            </w:rPr>
          </w:pPr>
          <w:hyperlink w:anchor="_Toc164701464" w:history="1">
            <w:r w:rsidRPr="005D058B">
              <w:rPr>
                <w:rStyle w:val="Hyperlink"/>
                <w:noProof/>
              </w:rPr>
              <w:t>SUMMARY</w:t>
            </w:r>
            <w:r>
              <w:rPr>
                <w:noProof/>
                <w:webHidden/>
              </w:rPr>
              <w:tab/>
            </w:r>
            <w:r>
              <w:rPr>
                <w:noProof/>
                <w:webHidden/>
              </w:rPr>
              <w:fldChar w:fldCharType="begin"/>
            </w:r>
            <w:r>
              <w:rPr>
                <w:noProof/>
                <w:webHidden/>
              </w:rPr>
              <w:instrText xml:space="preserve"> PAGEREF _Toc164701464 \h </w:instrText>
            </w:r>
            <w:r>
              <w:rPr>
                <w:noProof/>
                <w:webHidden/>
              </w:rPr>
            </w:r>
            <w:r>
              <w:rPr>
                <w:noProof/>
                <w:webHidden/>
              </w:rPr>
              <w:fldChar w:fldCharType="separate"/>
            </w:r>
            <w:r>
              <w:rPr>
                <w:noProof/>
                <w:webHidden/>
              </w:rPr>
              <w:t>5</w:t>
            </w:r>
            <w:r>
              <w:rPr>
                <w:noProof/>
                <w:webHidden/>
              </w:rPr>
              <w:fldChar w:fldCharType="end"/>
            </w:r>
          </w:hyperlink>
        </w:p>
        <w:p w14:paraId="43DCE92B" w14:textId="46FB1354" w:rsidR="00C4043E" w:rsidRDefault="00C4043E">
          <w:r>
            <w:rPr>
              <w:b/>
              <w:bCs/>
              <w:noProof/>
            </w:rPr>
            <w:fldChar w:fldCharType="end"/>
          </w:r>
        </w:p>
      </w:sdtContent>
    </w:sdt>
    <w:p w14:paraId="771419FF" w14:textId="77777777" w:rsidR="002138DD" w:rsidRDefault="002138DD">
      <w:pPr>
        <w:rPr>
          <w:rFonts w:ascii="Arial" w:hAnsi="Arial" w:cs="Arial"/>
          <w:color w:val="000000"/>
          <w:sz w:val="24"/>
          <w:szCs w:val="24"/>
        </w:rPr>
      </w:pPr>
    </w:p>
    <w:p w14:paraId="593655E1" w14:textId="77777777" w:rsidR="002138DD" w:rsidRDefault="002138DD">
      <w:pPr>
        <w:rPr>
          <w:rFonts w:ascii="Arial" w:hAnsi="Arial" w:cs="Arial"/>
          <w:color w:val="000000"/>
          <w:sz w:val="24"/>
          <w:szCs w:val="24"/>
        </w:rPr>
      </w:pPr>
    </w:p>
    <w:p w14:paraId="14897787" w14:textId="77777777" w:rsidR="002138DD" w:rsidRDefault="002138DD">
      <w:pPr>
        <w:rPr>
          <w:rFonts w:ascii="Arial" w:hAnsi="Arial" w:cs="Arial"/>
          <w:color w:val="000000"/>
          <w:sz w:val="24"/>
          <w:szCs w:val="24"/>
        </w:rPr>
      </w:pPr>
    </w:p>
    <w:p w14:paraId="78BB20E6" w14:textId="77777777" w:rsidR="002138DD" w:rsidRDefault="002138DD">
      <w:pPr>
        <w:rPr>
          <w:rFonts w:ascii="Arial" w:hAnsi="Arial" w:cs="Arial"/>
          <w:color w:val="000000"/>
          <w:sz w:val="24"/>
          <w:szCs w:val="24"/>
        </w:rPr>
      </w:pPr>
    </w:p>
    <w:p w14:paraId="3DEA13DC" w14:textId="77777777" w:rsidR="002138DD" w:rsidRDefault="002138DD">
      <w:pPr>
        <w:rPr>
          <w:rFonts w:ascii="Arial" w:hAnsi="Arial" w:cs="Arial"/>
          <w:color w:val="000000"/>
          <w:sz w:val="24"/>
          <w:szCs w:val="24"/>
        </w:rPr>
      </w:pPr>
    </w:p>
    <w:p w14:paraId="5808C5F2" w14:textId="77777777" w:rsidR="008928E2" w:rsidRDefault="008928E2" w:rsidP="008928E2"/>
    <w:p w14:paraId="639ECBC0" w14:textId="77777777" w:rsidR="008928E2" w:rsidRDefault="008928E2" w:rsidP="008928E2"/>
    <w:p w14:paraId="5DFB61BC" w14:textId="77777777" w:rsidR="008928E2" w:rsidRDefault="008928E2" w:rsidP="008928E2"/>
    <w:p w14:paraId="2C1DF0DB" w14:textId="77777777" w:rsidR="00C4043E" w:rsidRDefault="00C4043E" w:rsidP="008928E2"/>
    <w:p w14:paraId="0D2BC7BC" w14:textId="77777777" w:rsidR="00C4043E" w:rsidRDefault="00C4043E" w:rsidP="008928E2"/>
    <w:p w14:paraId="2BE3858D" w14:textId="77777777" w:rsidR="00C4043E" w:rsidRDefault="00C4043E" w:rsidP="008928E2"/>
    <w:p w14:paraId="0FE15319" w14:textId="77777777" w:rsidR="008928E2" w:rsidRDefault="008928E2" w:rsidP="008928E2"/>
    <w:p w14:paraId="523DABD7" w14:textId="77777777" w:rsidR="008928E2" w:rsidRDefault="008928E2" w:rsidP="008928E2"/>
    <w:p w14:paraId="22F63511" w14:textId="77777777" w:rsidR="008928E2" w:rsidRDefault="008928E2" w:rsidP="008928E2"/>
    <w:tbl>
      <w:tblPr>
        <w:tblStyle w:val="TableGrid"/>
        <w:tblW w:w="0" w:type="auto"/>
        <w:tblLook w:val="04A0" w:firstRow="1" w:lastRow="0" w:firstColumn="1" w:lastColumn="0" w:noHBand="0" w:noVBand="1"/>
      </w:tblPr>
      <w:tblGrid>
        <w:gridCol w:w="2518"/>
        <w:gridCol w:w="2268"/>
      </w:tblGrid>
      <w:tr w:rsidR="008928E2" w14:paraId="40147B7B" w14:textId="77777777" w:rsidTr="148203EF">
        <w:tc>
          <w:tcPr>
            <w:tcW w:w="2518" w:type="dxa"/>
          </w:tcPr>
          <w:p w14:paraId="5A5E9E79" w14:textId="77777777" w:rsidR="008928E2" w:rsidRPr="00213623" w:rsidRDefault="008928E2" w:rsidP="00051E88">
            <w:pPr>
              <w:rPr>
                <w:b/>
              </w:rPr>
            </w:pPr>
            <w:r w:rsidRPr="00213623">
              <w:rPr>
                <w:b/>
              </w:rPr>
              <w:t>Adopted Date</w:t>
            </w:r>
          </w:p>
        </w:tc>
        <w:tc>
          <w:tcPr>
            <w:tcW w:w="2268" w:type="dxa"/>
          </w:tcPr>
          <w:p w14:paraId="7AF264DD" w14:textId="77777777" w:rsidR="008928E2" w:rsidRDefault="008928E2" w:rsidP="00051E88">
            <w:r>
              <w:t>March 2017</w:t>
            </w:r>
          </w:p>
        </w:tc>
      </w:tr>
      <w:tr w:rsidR="008928E2" w14:paraId="4318226A" w14:textId="77777777" w:rsidTr="148203EF">
        <w:tc>
          <w:tcPr>
            <w:tcW w:w="2518" w:type="dxa"/>
          </w:tcPr>
          <w:p w14:paraId="6CD1E7A3" w14:textId="77777777" w:rsidR="008928E2" w:rsidRPr="00213623" w:rsidRDefault="008928E2" w:rsidP="00051E88">
            <w:pPr>
              <w:rPr>
                <w:b/>
              </w:rPr>
            </w:pPr>
            <w:r w:rsidRPr="00213623">
              <w:rPr>
                <w:b/>
              </w:rPr>
              <w:t>Review Period</w:t>
            </w:r>
          </w:p>
        </w:tc>
        <w:tc>
          <w:tcPr>
            <w:tcW w:w="2268" w:type="dxa"/>
          </w:tcPr>
          <w:p w14:paraId="4BB03CC5" w14:textId="77777777" w:rsidR="008928E2" w:rsidRDefault="008928E2" w:rsidP="00051E88">
            <w:r>
              <w:t>Annually</w:t>
            </w:r>
          </w:p>
        </w:tc>
      </w:tr>
      <w:tr w:rsidR="008928E2" w14:paraId="2281BC4D" w14:textId="77777777" w:rsidTr="148203EF">
        <w:tc>
          <w:tcPr>
            <w:tcW w:w="2518" w:type="dxa"/>
          </w:tcPr>
          <w:p w14:paraId="0FED15FA" w14:textId="77777777" w:rsidR="008928E2" w:rsidRPr="00213623" w:rsidRDefault="008928E2" w:rsidP="00051E88">
            <w:pPr>
              <w:rPr>
                <w:b/>
              </w:rPr>
            </w:pPr>
            <w:r w:rsidRPr="00213623">
              <w:rPr>
                <w:b/>
              </w:rPr>
              <w:t>Last Review Date</w:t>
            </w:r>
          </w:p>
        </w:tc>
        <w:tc>
          <w:tcPr>
            <w:tcW w:w="2268" w:type="dxa"/>
          </w:tcPr>
          <w:p w14:paraId="1570C6A7" w14:textId="50C00266" w:rsidR="008928E2" w:rsidRDefault="00DC4AAE" w:rsidP="00051E88">
            <w:r>
              <w:t>February 2025</w:t>
            </w:r>
          </w:p>
        </w:tc>
      </w:tr>
      <w:tr w:rsidR="008928E2" w14:paraId="17C1B2DF" w14:textId="77777777" w:rsidTr="148203EF">
        <w:tc>
          <w:tcPr>
            <w:tcW w:w="2518" w:type="dxa"/>
          </w:tcPr>
          <w:p w14:paraId="6621A253" w14:textId="77777777" w:rsidR="008928E2" w:rsidRPr="00213623" w:rsidRDefault="008928E2" w:rsidP="00051E88">
            <w:pPr>
              <w:rPr>
                <w:b/>
              </w:rPr>
            </w:pPr>
            <w:r w:rsidRPr="00213623">
              <w:rPr>
                <w:b/>
              </w:rPr>
              <w:t>Next Review Date</w:t>
            </w:r>
          </w:p>
        </w:tc>
        <w:tc>
          <w:tcPr>
            <w:tcW w:w="2268" w:type="dxa"/>
          </w:tcPr>
          <w:p w14:paraId="335D2784" w14:textId="5AB62493" w:rsidR="008928E2" w:rsidRDefault="00DC4AAE" w:rsidP="00051E88">
            <w:r>
              <w:t>April 2026</w:t>
            </w:r>
          </w:p>
        </w:tc>
      </w:tr>
    </w:tbl>
    <w:p w14:paraId="7CF7C629" w14:textId="77777777" w:rsidR="008928E2" w:rsidRDefault="008928E2" w:rsidP="008928E2"/>
    <w:p w14:paraId="2ED55A31" w14:textId="77777777" w:rsidR="00C4043E" w:rsidRDefault="00C4043E">
      <w:pPr>
        <w:rPr>
          <w:rFonts w:ascii="Arial" w:hAnsi="Arial" w:cs="Arial"/>
          <w:b/>
          <w:color w:val="000000"/>
          <w:sz w:val="24"/>
          <w:szCs w:val="24"/>
        </w:rPr>
      </w:pPr>
      <w:r>
        <w:rPr>
          <w:b/>
        </w:rPr>
        <w:br w:type="page"/>
      </w:r>
    </w:p>
    <w:p w14:paraId="487A1917" w14:textId="5E5CF2A4" w:rsidR="00EA4449" w:rsidRPr="00F01A68" w:rsidRDefault="00F01A68" w:rsidP="00C4043E">
      <w:pPr>
        <w:pStyle w:val="Heading2"/>
      </w:pPr>
      <w:bookmarkStart w:id="1" w:name="_Toc164701456"/>
      <w:r w:rsidRPr="00F01A68">
        <w:lastRenderedPageBreak/>
        <w:t>TOWN COUNCIL RESERVES</w:t>
      </w:r>
      <w:bookmarkEnd w:id="1"/>
      <w:r w:rsidRPr="00F01A68">
        <w:t xml:space="preserve"> </w:t>
      </w:r>
    </w:p>
    <w:p w14:paraId="0F216D7C" w14:textId="131D2E38" w:rsidR="00EA4449" w:rsidRPr="00F01A68" w:rsidRDefault="00EA4449" w:rsidP="0039295E">
      <w:pPr>
        <w:pStyle w:val="Default"/>
        <w:spacing w:after="240" w:line="276" w:lineRule="auto"/>
        <w:jc w:val="both"/>
        <w:rPr>
          <w:iCs/>
        </w:rPr>
      </w:pPr>
      <w:r w:rsidRPr="00F01A68">
        <w:t>The Town Council needs to maintain reserves to protect against risk, ensure contingencies are in place and to support investment in future projects which are beneficial to the town</w:t>
      </w:r>
      <w:r w:rsidRPr="00F01A68">
        <w:rPr>
          <w:i/>
          <w:iCs/>
        </w:rPr>
        <w:t xml:space="preserve">. </w:t>
      </w:r>
      <w:r w:rsidR="00F01A68">
        <w:t>Sections 31A, 32 42A and 43 of the Local Government Finance Act 1992 require billing and precepting authorities in England and Wales to have regard to the level of reserves needed for meeting estimated future expenditure when calculating the budget requirement.</w:t>
      </w:r>
      <w:r w:rsidR="007F7EB7">
        <w:t xml:space="preserve">  The Responsible Finance Officer has a duty to report on robustness of estimates and adequacy of reserves (under section 25 of the Local Government Act 2003) when the authority is considering its budget requirement</w:t>
      </w:r>
      <w:r w:rsidR="00A2684E">
        <w:t>.</w:t>
      </w:r>
    </w:p>
    <w:p w14:paraId="1071F7A1" w14:textId="77777777" w:rsidR="00EA4449" w:rsidRPr="0086718F" w:rsidRDefault="00EA4449" w:rsidP="0039295E">
      <w:pPr>
        <w:pStyle w:val="Default"/>
        <w:spacing w:after="240" w:line="276" w:lineRule="auto"/>
        <w:jc w:val="both"/>
        <w:rPr>
          <w:color w:val="auto"/>
        </w:rPr>
      </w:pPr>
      <w:r w:rsidRPr="00F01A68">
        <w:t xml:space="preserve">The Reserves Policy presents information about the requirements to maintain appropriate financial reserves and provides details on the types of reserves and current and predicted balances. The Town Council manages risk by assessing the potential impacts of future events, based on the likelihood that they may occur and the severity of any impact. Mitigating actions are then identified to reduce the exposure and appropriate plans are put in place. </w:t>
      </w:r>
      <w:r w:rsidR="005B798B" w:rsidRPr="0086718F">
        <w:rPr>
          <w:color w:val="auto"/>
        </w:rPr>
        <w:t>A</w:t>
      </w:r>
      <w:r w:rsidR="005B798B" w:rsidRPr="0086718F">
        <w:rPr>
          <w:b/>
          <w:color w:val="auto"/>
        </w:rPr>
        <w:t xml:space="preserve"> </w:t>
      </w:r>
      <w:r w:rsidR="005B798B" w:rsidRPr="0086718F">
        <w:rPr>
          <w:color w:val="auto"/>
        </w:rPr>
        <w:t>risk report will be submitted to the council on a</w:t>
      </w:r>
      <w:r w:rsidR="00165125" w:rsidRPr="0086718F">
        <w:rPr>
          <w:color w:val="auto"/>
        </w:rPr>
        <w:t>n</w:t>
      </w:r>
      <w:r w:rsidR="005B798B" w:rsidRPr="0086718F">
        <w:rPr>
          <w:color w:val="auto"/>
        </w:rPr>
        <w:t xml:space="preserve"> annual basis.</w:t>
      </w:r>
    </w:p>
    <w:p w14:paraId="7F359D32" w14:textId="77777777" w:rsidR="00EA4449" w:rsidRPr="00F01A68" w:rsidRDefault="00EA4449" w:rsidP="0039295E">
      <w:pPr>
        <w:pStyle w:val="Default"/>
        <w:spacing w:after="240" w:line="276" w:lineRule="auto"/>
        <w:jc w:val="both"/>
      </w:pPr>
      <w:r w:rsidRPr="00F01A68">
        <w:t xml:space="preserve">The purpose of this Policy is to enable the </w:t>
      </w:r>
      <w:r w:rsidR="007F7EB7">
        <w:t xml:space="preserve">Policy &amp; Finance </w:t>
      </w:r>
      <w:r w:rsidRPr="00F01A68">
        <w:t xml:space="preserve">Committee to review the level of reserves to ensure they meet the current and future needs of </w:t>
      </w:r>
      <w:r w:rsidR="00F01A68" w:rsidRPr="00F01A68">
        <w:t>Faversham</w:t>
      </w:r>
      <w:r w:rsidRPr="00F01A68">
        <w:t xml:space="preserve"> Town Council. </w:t>
      </w:r>
    </w:p>
    <w:p w14:paraId="46DC92D5" w14:textId="77777777" w:rsidR="0039295E" w:rsidRDefault="00EA4449" w:rsidP="0039295E">
      <w:pPr>
        <w:pStyle w:val="Default"/>
        <w:spacing w:after="240" w:line="276" w:lineRule="auto"/>
        <w:jc w:val="both"/>
      </w:pPr>
      <w:r w:rsidRPr="00F01A68">
        <w:t>The assessment of the adequacy of the Council’s balances and reserves is based on the guidance note on</w:t>
      </w:r>
      <w:r w:rsidR="007F7EB7">
        <w:t xml:space="preserve"> LAAP BULLETIN 99 Local Authority Reserves and Balances July 2014</w:t>
      </w:r>
      <w:r w:rsidRPr="00F01A68">
        <w:t xml:space="preserve">, which whilst there is not a statutory requirement, is considered to set out current best practice </w:t>
      </w:r>
      <w:proofErr w:type="gramStart"/>
      <w:r w:rsidRPr="00F01A68">
        <w:t>with regard to</w:t>
      </w:r>
      <w:proofErr w:type="gramEnd"/>
      <w:r w:rsidRPr="00F01A68">
        <w:t xml:space="preserve"> balances and reserves. The guidance states that no case has yet been made to set a statutory minimum level of reserves and that each local authority should take advice from its Responsible Finance Officer and base its judgement on local circumstances</w:t>
      </w:r>
      <w:r w:rsidR="007F7EB7">
        <w:t xml:space="preserve"> (para 20)</w:t>
      </w:r>
      <w:r w:rsidRPr="00F01A68">
        <w:t xml:space="preserve">. </w:t>
      </w:r>
    </w:p>
    <w:p w14:paraId="062284F4" w14:textId="77777777" w:rsidR="00EA4449" w:rsidRPr="00F01A68" w:rsidRDefault="00F01A68" w:rsidP="00C4043E">
      <w:pPr>
        <w:pStyle w:val="Heading2"/>
      </w:pPr>
      <w:bookmarkStart w:id="2" w:name="_Toc164701457"/>
      <w:r w:rsidRPr="00F01A68">
        <w:t>TYPES OF RESERVES</w:t>
      </w:r>
      <w:bookmarkEnd w:id="2"/>
      <w:r w:rsidRPr="00F01A68">
        <w:t xml:space="preserve"> </w:t>
      </w:r>
    </w:p>
    <w:p w14:paraId="75533F75" w14:textId="77777777" w:rsidR="00EA4449" w:rsidRDefault="00F01A68" w:rsidP="00F01A68">
      <w:pPr>
        <w:pStyle w:val="Default"/>
        <w:spacing w:after="240" w:line="276" w:lineRule="auto"/>
      </w:pPr>
      <w:r w:rsidRPr="00F01A68">
        <w:t>Faversham</w:t>
      </w:r>
      <w:r w:rsidR="00EA4449" w:rsidRPr="00F01A68">
        <w:t xml:space="preserve"> Town Council maintains two types o</w:t>
      </w:r>
      <w:r>
        <w:t>f reserves:</w:t>
      </w:r>
    </w:p>
    <w:p w14:paraId="15B65BE6" w14:textId="77777777" w:rsidR="00EA4449" w:rsidRPr="00C4043E" w:rsidRDefault="00EA4449" w:rsidP="00C4043E">
      <w:pPr>
        <w:pStyle w:val="Heading3"/>
        <w:rPr>
          <w:sz w:val="28"/>
          <w:szCs w:val="28"/>
        </w:rPr>
      </w:pPr>
      <w:bookmarkStart w:id="3" w:name="_Toc164701458"/>
      <w:r w:rsidRPr="00C4043E">
        <w:rPr>
          <w:sz w:val="28"/>
          <w:szCs w:val="28"/>
        </w:rPr>
        <w:t>Earmarked Reserves</w:t>
      </w:r>
      <w:bookmarkEnd w:id="3"/>
      <w:r w:rsidRPr="00C4043E">
        <w:rPr>
          <w:sz w:val="28"/>
          <w:szCs w:val="28"/>
        </w:rPr>
        <w:t xml:space="preserve"> </w:t>
      </w:r>
    </w:p>
    <w:p w14:paraId="0FF04BB7" w14:textId="1E4F54A2" w:rsidR="00F01A68" w:rsidRPr="00F01A68" w:rsidRDefault="00EA4449" w:rsidP="0039295E">
      <w:pPr>
        <w:pStyle w:val="Default"/>
        <w:spacing w:after="240" w:line="276" w:lineRule="auto"/>
        <w:jc w:val="both"/>
      </w:pPr>
      <w:r w:rsidRPr="00F01A68">
        <w:t>This provides a means of accumulating funds, for use in</w:t>
      </w:r>
      <w:r w:rsidR="00A2684E">
        <w:t xml:space="preserve"> later </w:t>
      </w:r>
      <w:r w:rsidRPr="00F01A68">
        <w:t>financial year</w:t>
      </w:r>
      <w:r w:rsidR="00A2684E">
        <w:t>s</w:t>
      </w:r>
      <w:r w:rsidRPr="00F01A68">
        <w:t>, to meet known or planned policy initiatives. Earmarked Reserves will increase</w:t>
      </w:r>
      <w:r w:rsidR="00A2684E">
        <w:t>/decrease</w:t>
      </w:r>
      <w:r w:rsidRPr="00F01A68">
        <w:t xml:space="preserve"> through decisions of the Council and will decrease as they are spent on their specific intended purposes. </w:t>
      </w:r>
    </w:p>
    <w:p w14:paraId="1095780F" w14:textId="77777777" w:rsidR="00EA4449" w:rsidRPr="0086718F" w:rsidRDefault="00EA4449" w:rsidP="0039295E">
      <w:pPr>
        <w:pStyle w:val="Default"/>
        <w:spacing w:line="276" w:lineRule="auto"/>
        <w:jc w:val="both"/>
        <w:rPr>
          <w:color w:val="auto"/>
        </w:rPr>
      </w:pPr>
      <w:r w:rsidRPr="00F01A68">
        <w:t xml:space="preserve">The purpose of an Earmarked Reserve is to set aside amounts for projects that extend beyond one year or as a contingency against a specific situation occurring. Once an Earmarked Reserve has been established by the Town Council it is the responsibility of the Responsible Finance Officer to ensure funds are spent in line with their purpose. The purpose of each Earmarked Reserve should be reviewed annually to ensure that it is still </w:t>
      </w:r>
      <w:r w:rsidRPr="0086718F">
        <w:rPr>
          <w:color w:val="auto"/>
        </w:rPr>
        <w:t xml:space="preserve">relevant. </w:t>
      </w:r>
      <w:r w:rsidR="006A15A3" w:rsidRPr="0086718F">
        <w:rPr>
          <w:color w:val="auto"/>
        </w:rPr>
        <w:t>If a</w:t>
      </w:r>
      <w:r w:rsidR="005B798B" w:rsidRPr="0086718F">
        <w:rPr>
          <w:color w:val="auto"/>
        </w:rPr>
        <w:t xml:space="preserve"> specific reserve is no longer considered relevant or there is an </w:t>
      </w:r>
      <w:r w:rsidR="006A15A3" w:rsidRPr="0086718F">
        <w:rPr>
          <w:color w:val="auto"/>
        </w:rPr>
        <w:lastRenderedPageBreak/>
        <w:t>overriding</w:t>
      </w:r>
      <w:r w:rsidR="005B798B" w:rsidRPr="0086718F">
        <w:rPr>
          <w:color w:val="auto"/>
        </w:rPr>
        <w:t xml:space="preserve"> financial requirement to fund a priority elsewhere virement can be considered</w:t>
      </w:r>
    </w:p>
    <w:p w14:paraId="512BA35A" w14:textId="77777777" w:rsidR="00F01A68" w:rsidRPr="00F01A68" w:rsidRDefault="00F01A68" w:rsidP="00F01A68">
      <w:pPr>
        <w:pStyle w:val="Default"/>
        <w:spacing w:line="276" w:lineRule="auto"/>
      </w:pPr>
    </w:p>
    <w:p w14:paraId="12268D9D" w14:textId="77777777" w:rsidR="00EA4449" w:rsidRPr="00C4043E" w:rsidRDefault="00F01A68" w:rsidP="00C4043E">
      <w:pPr>
        <w:pStyle w:val="Heading3"/>
        <w:rPr>
          <w:sz w:val="28"/>
          <w:szCs w:val="28"/>
        </w:rPr>
      </w:pPr>
      <w:bookmarkStart w:id="4" w:name="_Toc164701459"/>
      <w:r w:rsidRPr="00C4043E">
        <w:rPr>
          <w:sz w:val="28"/>
          <w:szCs w:val="28"/>
        </w:rPr>
        <w:t>General Reserves</w:t>
      </w:r>
      <w:bookmarkEnd w:id="4"/>
    </w:p>
    <w:p w14:paraId="6C13724F" w14:textId="646E94E1" w:rsidR="00EA4449" w:rsidRPr="00F01A68" w:rsidRDefault="00EA4449" w:rsidP="0039295E">
      <w:pPr>
        <w:pStyle w:val="Default"/>
        <w:widowControl w:val="0"/>
        <w:spacing w:after="240" w:line="276" w:lineRule="auto"/>
        <w:jc w:val="both"/>
        <w:rPr>
          <w:color w:val="auto"/>
        </w:rPr>
      </w:pPr>
      <w:r w:rsidRPr="00F01A68">
        <w:t xml:space="preserve">This represents the non-ring fenced (earmarked) balance of Council funds. The main purposes of the General Reserves are firstly to operate as a working balance to help manage the impact of uneven cash flows and secondly, to provide a contingency to cushion the impact of emerging or unforeseen events or genuine emergencies. In general, a robust level of reserve should be maintained and take account of operational and financial issues facing the Town Council. </w:t>
      </w:r>
      <w:r w:rsidRPr="00F01A68">
        <w:rPr>
          <w:color w:val="auto"/>
        </w:rPr>
        <w:t xml:space="preserve"> </w:t>
      </w:r>
      <w:r w:rsidR="007F7EB7">
        <w:rPr>
          <w:color w:val="auto"/>
        </w:rPr>
        <w:t xml:space="preserve"> A </w:t>
      </w:r>
      <w:r w:rsidRPr="00F01A68">
        <w:rPr>
          <w:color w:val="auto"/>
        </w:rPr>
        <w:t xml:space="preserve">well-run </w:t>
      </w:r>
      <w:r w:rsidR="007F7EB7">
        <w:rPr>
          <w:color w:val="auto"/>
        </w:rPr>
        <w:t>council</w:t>
      </w:r>
      <w:r w:rsidRPr="00F01A68">
        <w:rPr>
          <w:color w:val="auto"/>
        </w:rPr>
        <w:t xml:space="preserve"> with a prudent approach to setting its budget will each year consider its level of general reserves. These general reserves will also need to be supported by earmarked reserves for specific needs, </w:t>
      </w:r>
      <w:r w:rsidR="00A2684E" w:rsidRPr="00F01A68">
        <w:rPr>
          <w:color w:val="auto"/>
        </w:rPr>
        <w:t>contingencies,</w:t>
      </w:r>
      <w:r w:rsidRPr="00F01A68">
        <w:rPr>
          <w:color w:val="auto"/>
        </w:rPr>
        <w:t xml:space="preserve"> and commitments. In assessing the level of the Town Council’s reserves, account needs to be taken of the risks facing the Council in terms of any significant unforeseen expenditure requirements</w:t>
      </w:r>
      <w:r w:rsidR="00A2684E">
        <w:rPr>
          <w:color w:val="auto"/>
        </w:rPr>
        <w:t>.</w:t>
      </w:r>
    </w:p>
    <w:p w14:paraId="41153C55" w14:textId="77777777" w:rsidR="00EA4449" w:rsidRPr="00F01A68" w:rsidRDefault="00EA4449" w:rsidP="00F01A68">
      <w:pPr>
        <w:pStyle w:val="Default"/>
        <w:spacing w:after="240" w:line="276" w:lineRule="auto"/>
        <w:rPr>
          <w:color w:val="auto"/>
        </w:rPr>
      </w:pPr>
      <w:r w:rsidRPr="00F01A68">
        <w:rPr>
          <w:color w:val="auto"/>
        </w:rPr>
        <w:t>Further major elements which could impact a</w:t>
      </w:r>
      <w:r w:rsidR="00094AB4">
        <w:rPr>
          <w:color w:val="auto"/>
        </w:rPr>
        <w:t>dversely on future precepts are:</w:t>
      </w:r>
      <w:r w:rsidRPr="00F01A68">
        <w:rPr>
          <w:color w:val="auto"/>
        </w:rPr>
        <w:t xml:space="preserve"> </w:t>
      </w:r>
    </w:p>
    <w:p w14:paraId="66B857A0" w14:textId="77777777" w:rsidR="00AA3A51" w:rsidRDefault="00EA4449" w:rsidP="00AA3A51">
      <w:pPr>
        <w:pStyle w:val="Default"/>
        <w:numPr>
          <w:ilvl w:val="0"/>
          <w:numId w:val="3"/>
        </w:numPr>
        <w:spacing w:after="240" w:line="276" w:lineRule="auto"/>
        <w:rPr>
          <w:color w:val="auto"/>
        </w:rPr>
      </w:pPr>
      <w:r w:rsidRPr="00F01A68">
        <w:rPr>
          <w:color w:val="auto"/>
        </w:rPr>
        <w:t xml:space="preserve">Capping of Town Council Precept by Central Government </w:t>
      </w:r>
    </w:p>
    <w:p w14:paraId="490691A8" w14:textId="77777777" w:rsidR="00AA3A51" w:rsidRPr="00F01A68" w:rsidRDefault="00AA3A51" w:rsidP="00AA3A51">
      <w:pPr>
        <w:pStyle w:val="Default"/>
        <w:numPr>
          <w:ilvl w:val="0"/>
          <w:numId w:val="3"/>
        </w:numPr>
        <w:spacing w:after="240" w:line="276" w:lineRule="auto"/>
        <w:rPr>
          <w:color w:val="auto"/>
        </w:rPr>
      </w:pPr>
      <w:r>
        <w:rPr>
          <w:color w:val="auto"/>
        </w:rPr>
        <w:t>Devolved services</w:t>
      </w:r>
    </w:p>
    <w:p w14:paraId="7A708B2E" w14:textId="77777777" w:rsidR="00EA4449" w:rsidRPr="00F01A68" w:rsidRDefault="00F01A68" w:rsidP="00C4043E">
      <w:pPr>
        <w:pStyle w:val="Heading2"/>
      </w:pPr>
      <w:bookmarkStart w:id="5" w:name="_Toc164701460"/>
      <w:r w:rsidRPr="00F01A68">
        <w:t>PURPOSE OF GENERAL FUND RESERVES</w:t>
      </w:r>
      <w:bookmarkEnd w:id="5"/>
      <w:r w:rsidRPr="00F01A68">
        <w:t xml:space="preserve"> </w:t>
      </w:r>
    </w:p>
    <w:p w14:paraId="4A986C4E" w14:textId="415D2861" w:rsidR="00EA4449" w:rsidRPr="00F01A68" w:rsidRDefault="00EA4449" w:rsidP="0039295E">
      <w:pPr>
        <w:pStyle w:val="Default"/>
        <w:spacing w:after="240" w:line="276" w:lineRule="auto"/>
        <w:jc w:val="both"/>
        <w:rPr>
          <w:color w:val="auto"/>
        </w:rPr>
      </w:pPr>
      <w:r w:rsidRPr="00F01A68">
        <w:rPr>
          <w:color w:val="auto"/>
        </w:rPr>
        <w:t xml:space="preserve">The purpose of general reserves is to minimise the possible financial impacts to the authority </w:t>
      </w:r>
      <w:r w:rsidR="00A2684E" w:rsidRPr="00F01A68">
        <w:rPr>
          <w:color w:val="auto"/>
        </w:rPr>
        <w:t>from,</w:t>
      </w:r>
      <w:r w:rsidRPr="00F01A68">
        <w:rPr>
          <w:color w:val="auto"/>
        </w:rPr>
        <w:t xml:space="preserve"> emergencies, unforeseen events and ad hoc emerging issues during the year. </w:t>
      </w:r>
    </w:p>
    <w:p w14:paraId="45A5F53A" w14:textId="77777777" w:rsidR="00EA4449" w:rsidRPr="00F01A68" w:rsidRDefault="00F01A68" w:rsidP="00C4043E">
      <w:pPr>
        <w:pStyle w:val="Heading2"/>
      </w:pPr>
      <w:bookmarkStart w:id="6" w:name="_Toc164701461"/>
      <w:r w:rsidRPr="00F01A68">
        <w:t>GENERAL FUND RESERVE – RISK ASSESSMENT</w:t>
      </w:r>
      <w:bookmarkEnd w:id="6"/>
      <w:r w:rsidRPr="00F01A68">
        <w:t xml:space="preserve"> </w:t>
      </w:r>
    </w:p>
    <w:p w14:paraId="0ABD7FC6" w14:textId="77777777" w:rsidR="00EA4449" w:rsidRPr="00F01A68" w:rsidRDefault="00EA4449" w:rsidP="0039295E">
      <w:pPr>
        <w:pStyle w:val="Default"/>
        <w:spacing w:after="240" w:line="276" w:lineRule="auto"/>
        <w:jc w:val="both"/>
        <w:rPr>
          <w:color w:val="auto"/>
        </w:rPr>
      </w:pPr>
      <w:r w:rsidRPr="00F01A68">
        <w:rPr>
          <w:color w:val="auto"/>
        </w:rPr>
        <w:t xml:space="preserve">Identifying the risks allows the Council to take account of the circumstances around current structural change due to service provision and economic circumstances. </w:t>
      </w:r>
    </w:p>
    <w:p w14:paraId="22DB9045" w14:textId="0BC58E7B" w:rsidR="00C4043E" w:rsidRDefault="00EA4449" w:rsidP="00F01A68">
      <w:pPr>
        <w:pStyle w:val="Default"/>
        <w:spacing w:after="240" w:line="276" w:lineRule="auto"/>
        <w:rPr>
          <w:color w:val="auto"/>
        </w:rPr>
      </w:pPr>
      <w:r w:rsidRPr="00F01A68">
        <w:rPr>
          <w:color w:val="auto"/>
        </w:rPr>
        <w:t xml:space="preserve">Risks can be identified as; risks from potential one-off events; risks which will have general financial consequences and actions that need to be in place to minimise the potential for financial support. </w:t>
      </w:r>
    </w:p>
    <w:p w14:paraId="5C3A6987" w14:textId="77777777" w:rsidR="00EA4449" w:rsidRPr="00F01A68" w:rsidRDefault="00F01A68" w:rsidP="00C4043E">
      <w:pPr>
        <w:pStyle w:val="Heading2"/>
      </w:pPr>
      <w:bookmarkStart w:id="7" w:name="_Toc164701462"/>
      <w:r w:rsidRPr="00F01A68">
        <w:t>ASSESSMENT OF POTENTIAL RISKS (</w:t>
      </w:r>
      <w:r w:rsidRPr="00F01A68">
        <w:rPr>
          <w:i/>
          <w:iCs/>
        </w:rPr>
        <w:t>NOT COVERED BY INSURANCE</w:t>
      </w:r>
      <w:r w:rsidRPr="00F01A68">
        <w:t>)</w:t>
      </w:r>
      <w:bookmarkEnd w:id="7"/>
      <w:r w:rsidRPr="00F01A68">
        <w:t xml:space="preserve"> </w:t>
      </w:r>
    </w:p>
    <w:p w14:paraId="47EF3E4D" w14:textId="155124AB" w:rsidR="00EA4449" w:rsidRPr="00F01A68" w:rsidRDefault="00EA4449" w:rsidP="00F01A68">
      <w:pPr>
        <w:pStyle w:val="Default"/>
        <w:spacing w:after="240" w:line="276" w:lineRule="auto"/>
        <w:rPr>
          <w:b/>
          <w:color w:val="auto"/>
          <w:u w:val="single"/>
        </w:rPr>
      </w:pPr>
      <w:r w:rsidRPr="00F01A68">
        <w:rPr>
          <w:b/>
          <w:bCs/>
          <w:i/>
          <w:iCs/>
        </w:rPr>
        <w:t xml:space="preserve">The outcome of this analysis has been to place an estimated total value on the range of risks that may </w:t>
      </w:r>
      <w:r w:rsidR="00A2684E" w:rsidRPr="00F01A68">
        <w:rPr>
          <w:b/>
          <w:bCs/>
          <w:i/>
          <w:iCs/>
        </w:rPr>
        <w:t>arise,</w:t>
      </w:r>
      <w:r w:rsidRPr="00F01A68">
        <w:rPr>
          <w:b/>
          <w:bCs/>
          <w:i/>
          <w:iCs/>
        </w:rPr>
        <w:t xml:space="preserve"> and which are not covered by insurance.</w:t>
      </w:r>
    </w:p>
    <w:tbl>
      <w:tblPr>
        <w:tblW w:w="9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977"/>
        <w:gridCol w:w="3395"/>
        <w:gridCol w:w="1850"/>
      </w:tblGrid>
      <w:tr w:rsidR="00C25E81" w:rsidRPr="00C25E81" w14:paraId="07B00279" w14:textId="77777777" w:rsidTr="00094AB4">
        <w:trPr>
          <w:trHeight w:val="158"/>
        </w:trPr>
        <w:tc>
          <w:tcPr>
            <w:tcW w:w="1350" w:type="dxa"/>
          </w:tcPr>
          <w:p w14:paraId="723D40DE" w14:textId="77777777" w:rsidR="00C25E81" w:rsidRPr="00C25E81" w:rsidRDefault="00C25E81" w:rsidP="00F01A68">
            <w:pPr>
              <w:autoSpaceDE w:val="0"/>
              <w:autoSpaceDN w:val="0"/>
              <w:adjustRightInd w:val="0"/>
              <w:spacing w:after="240" w:line="240" w:lineRule="auto"/>
              <w:rPr>
                <w:rFonts w:ascii="Arial" w:hAnsi="Arial" w:cs="Arial"/>
                <w:color w:val="000000"/>
              </w:rPr>
            </w:pPr>
            <w:r w:rsidRPr="00C25E81">
              <w:rPr>
                <w:rFonts w:ascii="Arial" w:hAnsi="Arial" w:cs="Arial"/>
                <w:b/>
                <w:bCs/>
                <w:color w:val="000000"/>
              </w:rPr>
              <w:t xml:space="preserve">No </w:t>
            </w:r>
          </w:p>
        </w:tc>
        <w:tc>
          <w:tcPr>
            <w:tcW w:w="2977" w:type="dxa"/>
          </w:tcPr>
          <w:p w14:paraId="32EE68FB" w14:textId="77777777" w:rsidR="00C25E81" w:rsidRPr="00C25E81" w:rsidRDefault="00C25E81" w:rsidP="00F01A68">
            <w:pPr>
              <w:autoSpaceDE w:val="0"/>
              <w:autoSpaceDN w:val="0"/>
              <w:adjustRightInd w:val="0"/>
              <w:spacing w:after="240" w:line="240" w:lineRule="auto"/>
              <w:rPr>
                <w:rFonts w:ascii="Arial" w:hAnsi="Arial" w:cs="Arial"/>
                <w:color w:val="000000"/>
              </w:rPr>
            </w:pPr>
            <w:r w:rsidRPr="00C25E81">
              <w:rPr>
                <w:rFonts w:ascii="Arial" w:hAnsi="Arial" w:cs="Arial"/>
                <w:b/>
                <w:bCs/>
                <w:color w:val="000000"/>
              </w:rPr>
              <w:t xml:space="preserve">Risk </w:t>
            </w:r>
          </w:p>
        </w:tc>
        <w:tc>
          <w:tcPr>
            <w:tcW w:w="3395" w:type="dxa"/>
          </w:tcPr>
          <w:p w14:paraId="7F3E210C" w14:textId="77777777" w:rsidR="00C25E81" w:rsidRPr="00C25E81" w:rsidRDefault="00C25E81" w:rsidP="00F01A68">
            <w:pPr>
              <w:autoSpaceDE w:val="0"/>
              <w:autoSpaceDN w:val="0"/>
              <w:adjustRightInd w:val="0"/>
              <w:spacing w:after="240" w:line="240" w:lineRule="auto"/>
              <w:rPr>
                <w:rFonts w:ascii="Arial" w:hAnsi="Arial" w:cs="Arial"/>
                <w:color w:val="000000"/>
              </w:rPr>
            </w:pPr>
            <w:r w:rsidRPr="00C25E81">
              <w:rPr>
                <w:rFonts w:ascii="Arial" w:hAnsi="Arial" w:cs="Arial"/>
                <w:b/>
                <w:bCs/>
                <w:color w:val="000000"/>
              </w:rPr>
              <w:t xml:space="preserve">Effects/Action </w:t>
            </w:r>
          </w:p>
        </w:tc>
        <w:tc>
          <w:tcPr>
            <w:tcW w:w="1850" w:type="dxa"/>
          </w:tcPr>
          <w:p w14:paraId="0D86CE96" w14:textId="77777777" w:rsidR="00C25E81" w:rsidRPr="00C25E81" w:rsidRDefault="00C25E81" w:rsidP="00F01A68">
            <w:pPr>
              <w:autoSpaceDE w:val="0"/>
              <w:autoSpaceDN w:val="0"/>
              <w:adjustRightInd w:val="0"/>
              <w:spacing w:after="240" w:line="240" w:lineRule="auto"/>
              <w:rPr>
                <w:rFonts w:ascii="Arial" w:hAnsi="Arial" w:cs="Arial"/>
                <w:color w:val="000000"/>
              </w:rPr>
            </w:pPr>
            <w:r w:rsidRPr="00C25E81">
              <w:rPr>
                <w:rFonts w:ascii="Arial" w:hAnsi="Arial" w:cs="Arial"/>
                <w:b/>
                <w:bCs/>
                <w:color w:val="000000"/>
              </w:rPr>
              <w:t xml:space="preserve">Value of Risk </w:t>
            </w:r>
          </w:p>
        </w:tc>
      </w:tr>
      <w:tr w:rsidR="00C25E81" w:rsidRPr="00C25E81" w14:paraId="61D46297" w14:textId="77777777" w:rsidTr="00094AB4">
        <w:trPr>
          <w:trHeight w:val="405"/>
        </w:trPr>
        <w:tc>
          <w:tcPr>
            <w:tcW w:w="1350" w:type="dxa"/>
          </w:tcPr>
          <w:p w14:paraId="065B955B" w14:textId="7AE5A9FD" w:rsidR="00C25E81" w:rsidRPr="00C25E81" w:rsidRDefault="00C25E81" w:rsidP="00F01A68">
            <w:pPr>
              <w:autoSpaceDE w:val="0"/>
              <w:autoSpaceDN w:val="0"/>
              <w:adjustRightInd w:val="0"/>
              <w:spacing w:after="240" w:line="240" w:lineRule="auto"/>
              <w:rPr>
                <w:rFonts w:ascii="Arial" w:hAnsi="Arial" w:cs="Arial"/>
                <w:color w:val="000000"/>
              </w:rPr>
            </w:pPr>
            <w:r w:rsidRPr="00C25E81">
              <w:rPr>
                <w:rFonts w:ascii="Arial" w:hAnsi="Arial" w:cs="Arial"/>
                <w:color w:val="000000"/>
              </w:rPr>
              <w:t>1</w:t>
            </w:r>
            <w:r w:rsidR="00DC4AAE">
              <w:rPr>
                <w:rFonts w:ascii="Arial" w:hAnsi="Arial" w:cs="Arial"/>
                <w:color w:val="000000"/>
              </w:rPr>
              <w:t>.</w:t>
            </w:r>
            <w:r w:rsidRPr="00C25E81">
              <w:rPr>
                <w:rFonts w:ascii="Arial" w:hAnsi="Arial" w:cs="Arial"/>
                <w:color w:val="000000"/>
              </w:rPr>
              <w:t xml:space="preserve"> </w:t>
            </w:r>
          </w:p>
        </w:tc>
        <w:tc>
          <w:tcPr>
            <w:tcW w:w="2977" w:type="dxa"/>
          </w:tcPr>
          <w:p w14:paraId="027D7CC9" w14:textId="55054410" w:rsidR="00C25E81" w:rsidRPr="00C25E81" w:rsidRDefault="00DC4AAE" w:rsidP="00F01A68">
            <w:pPr>
              <w:autoSpaceDE w:val="0"/>
              <w:autoSpaceDN w:val="0"/>
              <w:adjustRightInd w:val="0"/>
              <w:spacing w:after="240" w:line="240" w:lineRule="auto"/>
              <w:rPr>
                <w:rFonts w:ascii="Arial" w:hAnsi="Arial" w:cs="Arial"/>
                <w:color w:val="000000"/>
              </w:rPr>
            </w:pPr>
            <w:r>
              <w:rPr>
                <w:rFonts w:ascii="Arial" w:hAnsi="Arial" w:cs="Arial"/>
                <w:color w:val="000000"/>
              </w:rPr>
              <w:t>S</w:t>
            </w:r>
            <w:r w:rsidR="00C25E81" w:rsidRPr="00C25E81">
              <w:rPr>
                <w:rFonts w:ascii="Arial" w:hAnsi="Arial" w:cs="Arial"/>
                <w:color w:val="000000"/>
              </w:rPr>
              <w:t xml:space="preserve">taff </w:t>
            </w:r>
            <w:r>
              <w:rPr>
                <w:rFonts w:ascii="Arial" w:hAnsi="Arial" w:cs="Arial"/>
                <w:color w:val="000000"/>
              </w:rPr>
              <w:t>on</w:t>
            </w:r>
            <w:r w:rsidR="00AA3A51">
              <w:rPr>
                <w:rFonts w:ascii="Arial" w:hAnsi="Arial" w:cs="Arial"/>
                <w:color w:val="000000"/>
              </w:rPr>
              <w:t xml:space="preserve"> long term sick</w:t>
            </w:r>
            <w:r>
              <w:rPr>
                <w:rFonts w:ascii="Arial" w:hAnsi="Arial" w:cs="Arial"/>
                <w:color w:val="000000"/>
              </w:rPr>
              <w:t xml:space="preserve"> leave</w:t>
            </w:r>
          </w:p>
        </w:tc>
        <w:tc>
          <w:tcPr>
            <w:tcW w:w="3395" w:type="dxa"/>
          </w:tcPr>
          <w:p w14:paraId="40CC9E79" w14:textId="5B69FE39" w:rsidR="00C25E81" w:rsidRPr="00C25E81" w:rsidRDefault="006611EF" w:rsidP="006611EF">
            <w:pPr>
              <w:autoSpaceDE w:val="0"/>
              <w:autoSpaceDN w:val="0"/>
              <w:adjustRightInd w:val="0"/>
              <w:spacing w:after="240" w:line="240" w:lineRule="auto"/>
              <w:rPr>
                <w:rFonts w:ascii="Arial" w:hAnsi="Arial" w:cs="Arial"/>
                <w:color w:val="000000"/>
              </w:rPr>
            </w:pPr>
            <w:r>
              <w:rPr>
                <w:rFonts w:ascii="Arial" w:hAnsi="Arial" w:cs="Arial"/>
                <w:color w:val="000000"/>
              </w:rPr>
              <w:t>Salaries</w:t>
            </w:r>
            <w:r w:rsidRPr="00C25E81">
              <w:rPr>
                <w:rFonts w:ascii="Arial" w:hAnsi="Arial" w:cs="Arial"/>
                <w:color w:val="000000"/>
              </w:rPr>
              <w:t xml:space="preserve"> for </w:t>
            </w:r>
            <w:r>
              <w:rPr>
                <w:rFonts w:ascii="Arial" w:hAnsi="Arial" w:cs="Arial"/>
                <w:color w:val="000000"/>
              </w:rPr>
              <w:t xml:space="preserve">locum </w:t>
            </w:r>
            <w:r w:rsidRPr="00C25E81">
              <w:rPr>
                <w:rFonts w:ascii="Arial" w:hAnsi="Arial" w:cs="Arial"/>
                <w:color w:val="000000"/>
              </w:rPr>
              <w:t>staff</w:t>
            </w:r>
            <w:r w:rsidR="00DC4AAE">
              <w:rPr>
                <w:rFonts w:ascii="Arial" w:hAnsi="Arial" w:cs="Arial"/>
                <w:color w:val="000000"/>
              </w:rPr>
              <w:t>, specifically the Clerk</w:t>
            </w:r>
            <w:r w:rsidRPr="00C25E81">
              <w:rPr>
                <w:rFonts w:ascii="Arial" w:hAnsi="Arial" w:cs="Arial"/>
                <w:color w:val="000000"/>
              </w:rPr>
              <w:t xml:space="preserve"> </w:t>
            </w:r>
            <w:r w:rsidR="00DC4AAE">
              <w:rPr>
                <w:rFonts w:ascii="Arial" w:hAnsi="Arial" w:cs="Arial"/>
                <w:color w:val="000000"/>
              </w:rPr>
              <w:t>(6 months)</w:t>
            </w:r>
            <w:r w:rsidR="00AA3A51">
              <w:rPr>
                <w:rFonts w:ascii="Arial" w:hAnsi="Arial" w:cs="Arial"/>
                <w:color w:val="000000"/>
              </w:rPr>
              <w:t xml:space="preserve"> </w:t>
            </w:r>
          </w:p>
        </w:tc>
        <w:tc>
          <w:tcPr>
            <w:tcW w:w="1850" w:type="dxa"/>
          </w:tcPr>
          <w:p w14:paraId="04E860C0" w14:textId="46A3E045" w:rsidR="00C25E81" w:rsidRPr="00C25E81" w:rsidRDefault="00C25E81" w:rsidP="0039295E">
            <w:pPr>
              <w:autoSpaceDE w:val="0"/>
              <w:autoSpaceDN w:val="0"/>
              <w:adjustRightInd w:val="0"/>
              <w:spacing w:after="240" w:line="240" w:lineRule="auto"/>
              <w:jc w:val="right"/>
              <w:rPr>
                <w:rFonts w:ascii="Arial" w:hAnsi="Arial" w:cs="Arial"/>
                <w:color w:val="000000"/>
              </w:rPr>
            </w:pPr>
            <w:r w:rsidRPr="00C25E81">
              <w:rPr>
                <w:rFonts w:ascii="Arial" w:hAnsi="Arial" w:cs="Arial"/>
                <w:color w:val="000000"/>
              </w:rPr>
              <w:t>£</w:t>
            </w:r>
            <w:r w:rsidR="006611EF">
              <w:rPr>
                <w:rFonts w:ascii="Arial" w:hAnsi="Arial" w:cs="Arial"/>
                <w:color w:val="000000"/>
              </w:rPr>
              <w:t>25,000</w:t>
            </w:r>
            <w:r w:rsidRPr="00C25E81">
              <w:rPr>
                <w:rFonts w:ascii="Arial" w:hAnsi="Arial" w:cs="Arial"/>
                <w:color w:val="000000"/>
              </w:rPr>
              <w:t xml:space="preserve"> </w:t>
            </w:r>
          </w:p>
        </w:tc>
      </w:tr>
      <w:tr w:rsidR="00C25E81" w:rsidRPr="00C25E81" w14:paraId="015819E4" w14:textId="77777777" w:rsidTr="00094AB4">
        <w:trPr>
          <w:trHeight w:val="277"/>
        </w:trPr>
        <w:tc>
          <w:tcPr>
            <w:tcW w:w="1350" w:type="dxa"/>
          </w:tcPr>
          <w:p w14:paraId="5D72A6B8" w14:textId="0E3D57B0" w:rsidR="00C25E81" w:rsidRPr="00C25E81" w:rsidRDefault="00DC4AAE" w:rsidP="00F01A68">
            <w:pPr>
              <w:autoSpaceDE w:val="0"/>
              <w:autoSpaceDN w:val="0"/>
              <w:adjustRightInd w:val="0"/>
              <w:spacing w:after="240" w:line="240" w:lineRule="auto"/>
              <w:rPr>
                <w:rFonts w:ascii="Arial" w:hAnsi="Arial" w:cs="Arial"/>
                <w:color w:val="000000"/>
              </w:rPr>
            </w:pPr>
            <w:r>
              <w:rPr>
                <w:rFonts w:ascii="Arial" w:hAnsi="Arial" w:cs="Arial"/>
                <w:color w:val="000000"/>
              </w:rPr>
              <w:t>2.</w:t>
            </w:r>
          </w:p>
        </w:tc>
        <w:tc>
          <w:tcPr>
            <w:tcW w:w="2977" w:type="dxa"/>
          </w:tcPr>
          <w:p w14:paraId="1272CCBE" w14:textId="77777777" w:rsidR="00C25E81" w:rsidRPr="00C25E81" w:rsidRDefault="00C25E81" w:rsidP="00F01A68">
            <w:pPr>
              <w:autoSpaceDE w:val="0"/>
              <w:autoSpaceDN w:val="0"/>
              <w:adjustRightInd w:val="0"/>
              <w:spacing w:after="240" w:line="240" w:lineRule="auto"/>
              <w:rPr>
                <w:rFonts w:ascii="Arial" w:hAnsi="Arial" w:cs="Arial"/>
                <w:color w:val="000000"/>
              </w:rPr>
            </w:pPr>
            <w:r w:rsidRPr="00C25E81">
              <w:rPr>
                <w:rFonts w:ascii="Arial" w:hAnsi="Arial" w:cs="Arial"/>
                <w:color w:val="000000"/>
              </w:rPr>
              <w:t xml:space="preserve">Election Reserve </w:t>
            </w:r>
          </w:p>
        </w:tc>
        <w:tc>
          <w:tcPr>
            <w:tcW w:w="3395" w:type="dxa"/>
          </w:tcPr>
          <w:p w14:paraId="59255E14" w14:textId="77777777" w:rsidR="00C25E81" w:rsidRPr="00C25E81" w:rsidRDefault="00C25E81" w:rsidP="00094AB4">
            <w:pPr>
              <w:autoSpaceDE w:val="0"/>
              <w:autoSpaceDN w:val="0"/>
              <w:adjustRightInd w:val="0"/>
              <w:spacing w:after="240" w:line="240" w:lineRule="auto"/>
              <w:rPr>
                <w:rFonts w:ascii="Arial" w:hAnsi="Arial" w:cs="Arial"/>
                <w:color w:val="000000"/>
              </w:rPr>
            </w:pPr>
            <w:r w:rsidRPr="00C25E81">
              <w:rPr>
                <w:rFonts w:ascii="Arial" w:hAnsi="Arial" w:cs="Arial"/>
                <w:color w:val="000000"/>
              </w:rPr>
              <w:t xml:space="preserve">Reserve to meet potential future </w:t>
            </w:r>
            <w:r w:rsidR="00094AB4">
              <w:rPr>
                <w:rFonts w:ascii="Arial" w:hAnsi="Arial" w:cs="Arial"/>
                <w:color w:val="000000"/>
              </w:rPr>
              <w:t>By-</w:t>
            </w:r>
            <w:r w:rsidRPr="00C25E81">
              <w:rPr>
                <w:rFonts w:ascii="Arial" w:hAnsi="Arial" w:cs="Arial"/>
                <w:color w:val="000000"/>
              </w:rPr>
              <w:t xml:space="preserve">Election Costs </w:t>
            </w:r>
          </w:p>
        </w:tc>
        <w:tc>
          <w:tcPr>
            <w:tcW w:w="1850" w:type="dxa"/>
          </w:tcPr>
          <w:p w14:paraId="099702EE" w14:textId="6FE8B832" w:rsidR="00C25E81" w:rsidRPr="00C25E81" w:rsidRDefault="00AA3A51" w:rsidP="0039295E">
            <w:pPr>
              <w:autoSpaceDE w:val="0"/>
              <w:autoSpaceDN w:val="0"/>
              <w:adjustRightInd w:val="0"/>
              <w:spacing w:after="240" w:line="240" w:lineRule="auto"/>
              <w:jc w:val="right"/>
              <w:rPr>
                <w:rFonts w:ascii="Arial" w:hAnsi="Arial" w:cs="Arial"/>
                <w:color w:val="000000"/>
              </w:rPr>
            </w:pPr>
            <w:r>
              <w:rPr>
                <w:rFonts w:ascii="Arial" w:hAnsi="Arial" w:cs="Arial"/>
                <w:color w:val="000000"/>
              </w:rPr>
              <w:t>£</w:t>
            </w:r>
            <w:r w:rsidR="006611EF">
              <w:rPr>
                <w:rFonts w:ascii="Arial" w:hAnsi="Arial" w:cs="Arial"/>
                <w:color w:val="000000"/>
              </w:rPr>
              <w:t>20</w:t>
            </w:r>
            <w:r>
              <w:rPr>
                <w:rFonts w:ascii="Arial" w:hAnsi="Arial" w:cs="Arial"/>
                <w:color w:val="000000"/>
              </w:rPr>
              <w:t>,000</w:t>
            </w:r>
            <w:r w:rsidR="00C25E81" w:rsidRPr="00C25E81">
              <w:rPr>
                <w:rFonts w:ascii="Arial" w:hAnsi="Arial" w:cs="Arial"/>
                <w:i/>
                <w:iCs/>
                <w:color w:val="000000"/>
              </w:rPr>
              <w:t xml:space="preserve"> </w:t>
            </w:r>
          </w:p>
        </w:tc>
      </w:tr>
      <w:tr w:rsidR="005C6F27" w:rsidRPr="00C25E81" w14:paraId="4AEE082C" w14:textId="77777777" w:rsidTr="00094AB4">
        <w:trPr>
          <w:trHeight w:val="754"/>
        </w:trPr>
        <w:tc>
          <w:tcPr>
            <w:tcW w:w="1350" w:type="dxa"/>
          </w:tcPr>
          <w:p w14:paraId="2BE5E080" w14:textId="6114ED6F" w:rsidR="005C6F27" w:rsidRPr="00C25E81" w:rsidRDefault="00DC4AAE" w:rsidP="00F01A68">
            <w:pPr>
              <w:autoSpaceDE w:val="0"/>
              <w:autoSpaceDN w:val="0"/>
              <w:adjustRightInd w:val="0"/>
              <w:spacing w:after="240" w:line="240" w:lineRule="auto"/>
              <w:rPr>
                <w:rFonts w:ascii="Arial" w:hAnsi="Arial" w:cs="Arial"/>
                <w:color w:val="000000"/>
              </w:rPr>
            </w:pPr>
            <w:r>
              <w:rPr>
                <w:rFonts w:ascii="Arial" w:hAnsi="Arial" w:cs="Arial"/>
                <w:color w:val="000000"/>
              </w:rPr>
              <w:t>3.</w:t>
            </w:r>
          </w:p>
        </w:tc>
        <w:tc>
          <w:tcPr>
            <w:tcW w:w="2977" w:type="dxa"/>
          </w:tcPr>
          <w:p w14:paraId="2CE24979" w14:textId="77777777" w:rsidR="005C6F27" w:rsidRPr="00C25E81" w:rsidRDefault="005C6F27" w:rsidP="00F01A68">
            <w:pPr>
              <w:autoSpaceDE w:val="0"/>
              <w:autoSpaceDN w:val="0"/>
              <w:adjustRightInd w:val="0"/>
              <w:spacing w:after="240" w:line="240" w:lineRule="auto"/>
              <w:rPr>
                <w:rFonts w:ascii="Arial" w:hAnsi="Arial" w:cs="Arial"/>
                <w:color w:val="000000"/>
              </w:rPr>
            </w:pPr>
            <w:r>
              <w:rPr>
                <w:rFonts w:ascii="Arial" w:hAnsi="Arial" w:cs="Arial"/>
                <w:color w:val="000000"/>
              </w:rPr>
              <w:t>Unanticipated Legal costs</w:t>
            </w:r>
          </w:p>
        </w:tc>
        <w:tc>
          <w:tcPr>
            <w:tcW w:w="3395" w:type="dxa"/>
          </w:tcPr>
          <w:p w14:paraId="00296411" w14:textId="77777777" w:rsidR="005C6F27" w:rsidRPr="00C25E81" w:rsidRDefault="005C6F27" w:rsidP="00F01A68">
            <w:pPr>
              <w:autoSpaceDE w:val="0"/>
              <w:autoSpaceDN w:val="0"/>
              <w:adjustRightInd w:val="0"/>
              <w:spacing w:after="240" w:line="240" w:lineRule="auto"/>
              <w:rPr>
                <w:rFonts w:ascii="Arial" w:hAnsi="Arial" w:cs="Arial"/>
                <w:color w:val="000000"/>
              </w:rPr>
            </w:pPr>
            <w:r>
              <w:rPr>
                <w:rFonts w:ascii="Arial" w:hAnsi="Arial" w:cs="Arial"/>
                <w:color w:val="000000"/>
              </w:rPr>
              <w:t>Legal costs that cannot be recovered</w:t>
            </w:r>
          </w:p>
        </w:tc>
        <w:tc>
          <w:tcPr>
            <w:tcW w:w="1850" w:type="dxa"/>
          </w:tcPr>
          <w:p w14:paraId="4EF08561" w14:textId="77777777" w:rsidR="005C6F27" w:rsidRDefault="005C6F27" w:rsidP="00094AB4">
            <w:pPr>
              <w:autoSpaceDE w:val="0"/>
              <w:autoSpaceDN w:val="0"/>
              <w:adjustRightInd w:val="0"/>
              <w:spacing w:after="240" w:line="240" w:lineRule="auto"/>
              <w:jc w:val="right"/>
              <w:rPr>
                <w:rFonts w:ascii="Arial" w:hAnsi="Arial" w:cs="Arial"/>
                <w:color w:val="000000"/>
              </w:rPr>
            </w:pPr>
            <w:r>
              <w:rPr>
                <w:rFonts w:ascii="Arial" w:hAnsi="Arial" w:cs="Arial"/>
                <w:color w:val="000000"/>
              </w:rPr>
              <w:t>£</w:t>
            </w:r>
            <w:r w:rsidR="00094AB4">
              <w:rPr>
                <w:rFonts w:ascii="Arial" w:hAnsi="Arial" w:cs="Arial"/>
                <w:color w:val="000000"/>
              </w:rPr>
              <w:t>20</w:t>
            </w:r>
            <w:r>
              <w:rPr>
                <w:rFonts w:ascii="Arial" w:hAnsi="Arial" w:cs="Arial"/>
                <w:color w:val="000000"/>
              </w:rPr>
              <w:t>,000</w:t>
            </w:r>
          </w:p>
          <w:p w14:paraId="7C39A7F9" w14:textId="77777777" w:rsidR="005B798B" w:rsidRPr="005B798B" w:rsidRDefault="005B798B" w:rsidP="005B798B">
            <w:pPr>
              <w:autoSpaceDE w:val="0"/>
              <w:autoSpaceDN w:val="0"/>
              <w:adjustRightInd w:val="0"/>
              <w:spacing w:after="240" w:line="240" w:lineRule="auto"/>
              <w:rPr>
                <w:rFonts w:ascii="Arial" w:hAnsi="Arial" w:cs="Arial"/>
                <w:color w:val="FF0000"/>
              </w:rPr>
            </w:pPr>
          </w:p>
        </w:tc>
      </w:tr>
      <w:tr w:rsidR="0086718F" w:rsidRPr="0086718F" w14:paraId="430247BD" w14:textId="77777777" w:rsidTr="00094AB4">
        <w:trPr>
          <w:trHeight w:val="754"/>
        </w:trPr>
        <w:tc>
          <w:tcPr>
            <w:tcW w:w="1350" w:type="dxa"/>
          </w:tcPr>
          <w:p w14:paraId="28BC5E9F" w14:textId="77777777" w:rsidR="0086718F" w:rsidRPr="0086718F" w:rsidRDefault="0086718F" w:rsidP="00F01A68">
            <w:pPr>
              <w:autoSpaceDE w:val="0"/>
              <w:autoSpaceDN w:val="0"/>
              <w:adjustRightInd w:val="0"/>
              <w:spacing w:after="240" w:line="240" w:lineRule="auto"/>
              <w:rPr>
                <w:rFonts w:ascii="Arial" w:hAnsi="Arial" w:cs="Arial"/>
                <w:b/>
                <w:color w:val="000000"/>
              </w:rPr>
            </w:pPr>
          </w:p>
        </w:tc>
        <w:tc>
          <w:tcPr>
            <w:tcW w:w="2977" w:type="dxa"/>
          </w:tcPr>
          <w:p w14:paraId="5D86BD0C" w14:textId="77777777" w:rsidR="0086718F" w:rsidRPr="0086718F" w:rsidRDefault="0086718F" w:rsidP="00F01A68">
            <w:pPr>
              <w:autoSpaceDE w:val="0"/>
              <w:autoSpaceDN w:val="0"/>
              <w:adjustRightInd w:val="0"/>
              <w:spacing w:after="240" w:line="240" w:lineRule="auto"/>
              <w:rPr>
                <w:rFonts w:ascii="Arial" w:hAnsi="Arial" w:cs="Arial"/>
                <w:b/>
                <w:color w:val="000000"/>
              </w:rPr>
            </w:pPr>
          </w:p>
        </w:tc>
        <w:tc>
          <w:tcPr>
            <w:tcW w:w="3395" w:type="dxa"/>
          </w:tcPr>
          <w:p w14:paraId="150F538C" w14:textId="77777777" w:rsidR="0086718F" w:rsidRPr="0086718F" w:rsidRDefault="0086718F" w:rsidP="00F01A68">
            <w:pPr>
              <w:autoSpaceDE w:val="0"/>
              <w:autoSpaceDN w:val="0"/>
              <w:adjustRightInd w:val="0"/>
              <w:spacing w:after="240" w:line="240" w:lineRule="auto"/>
              <w:rPr>
                <w:rFonts w:ascii="Arial" w:hAnsi="Arial" w:cs="Arial"/>
                <w:b/>
                <w:color w:val="000000"/>
              </w:rPr>
            </w:pPr>
          </w:p>
          <w:p w14:paraId="0804E1B4" w14:textId="77777777" w:rsidR="0086718F" w:rsidRPr="0086718F" w:rsidRDefault="0086718F" w:rsidP="00F01A68">
            <w:pPr>
              <w:autoSpaceDE w:val="0"/>
              <w:autoSpaceDN w:val="0"/>
              <w:adjustRightInd w:val="0"/>
              <w:spacing w:after="240" w:line="240" w:lineRule="auto"/>
              <w:rPr>
                <w:rFonts w:ascii="Arial" w:hAnsi="Arial" w:cs="Arial"/>
                <w:b/>
                <w:color w:val="000000"/>
              </w:rPr>
            </w:pPr>
            <w:r w:rsidRPr="0086718F">
              <w:rPr>
                <w:rFonts w:ascii="Arial" w:hAnsi="Arial" w:cs="Arial"/>
                <w:b/>
                <w:color w:val="000000"/>
              </w:rPr>
              <w:t>TOTAL</w:t>
            </w:r>
          </w:p>
        </w:tc>
        <w:tc>
          <w:tcPr>
            <w:tcW w:w="1850" w:type="dxa"/>
          </w:tcPr>
          <w:p w14:paraId="3E536093" w14:textId="77777777" w:rsidR="0086718F" w:rsidRPr="0086718F" w:rsidRDefault="0086718F" w:rsidP="00094AB4">
            <w:pPr>
              <w:autoSpaceDE w:val="0"/>
              <w:autoSpaceDN w:val="0"/>
              <w:adjustRightInd w:val="0"/>
              <w:spacing w:after="240" w:line="240" w:lineRule="auto"/>
              <w:jc w:val="right"/>
              <w:rPr>
                <w:rFonts w:ascii="Arial" w:hAnsi="Arial" w:cs="Arial"/>
                <w:b/>
                <w:color w:val="000000"/>
              </w:rPr>
            </w:pPr>
          </w:p>
          <w:p w14:paraId="1FACCB5C" w14:textId="37A08D73" w:rsidR="0086718F" w:rsidRPr="0086718F" w:rsidRDefault="0086718F" w:rsidP="0039295E">
            <w:pPr>
              <w:autoSpaceDE w:val="0"/>
              <w:autoSpaceDN w:val="0"/>
              <w:adjustRightInd w:val="0"/>
              <w:spacing w:after="240" w:line="240" w:lineRule="auto"/>
              <w:jc w:val="right"/>
              <w:rPr>
                <w:rFonts w:ascii="Arial" w:hAnsi="Arial" w:cs="Arial"/>
                <w:b/>
                <w:color w:val="000000"/>
              </w:rPr>
            </w:pPr>
            <w:r w:rsidRPr="0086718F">
              <w:rPr>
                <w:rFonts w:ascii="Arial" w:hAnsi="Arial" w:cs="Arial"/>
                <w:b/>
                <w:color w:val="000000"/>
              </w:rPr>
              <w:t>£</w:t>
            </w:r>
            <w:r w:rsidR="006611EF">
              <w:rPr>
                <w:rFonts w:ascii="Arial" w:hAnsi="Arial" w:cs="Arial"/>
                <w:b/>
                <w:color w:val="000000"/>
              </w:rPr>
              <w:t>65,000</w:t>
            </w:r>
          </w:p>
        </w:tc>
      </w:tr>
    </w:tbl>
    <w:p w14:paraId="4986E3CB" w14:textId="77777777" w:rsidR="009F15FF" w:rsidRDefault="009F15FF" w:rsidP="00F01A68">
      <w:pPr>
        <w:spacing w:after="240"/>
      </w:pPr>
    </w:p>
    <w:p w14:paraId="13AF9722" w14:textId="77777777" w:rsidR="005C6F27" w:rsidRPr="00F01A68" w:rsidRDefault="00F01A68" w:rsidP="00C4043E">
      <w:pPr>
        <w:pStyle w:val="Heading2"/>
      </w:pPr>
      <w:bookmarkStart w:id="8" w:name="_Toc164701463"/>
      <w:r w:rsidRPr="00F01A68">
        <w:t>ROLE OF RESPONSIBLE FINANCE OFFICER</w:t>
      </w:r>
      <w:bookmarkEnd w:id="8"/>
      <w:r w:rsidRPr="00F01A68">
        <w:t xml:space="preserve"> </w:t>
      </w:r>
    </w:p>
    <w:p w14:paraId="5245ABC6" w14:textId="77777777" w:rsidR="005C6F27" w:rsidRPr="00F01A68" w:rsidRDefault="005C6F27" w:rsidP="0039295E">
      <w:pPr>
        <w:pStyle w:val="Default"/>
        <w:spacing w:after="240" w:line="276" w:lineRule="auto"/>
        <w:jc w:val="both"/>
      </w:pPr>
      <w:r w:rsidRPr="00F01A68">
        <w:t xml:space="preserve">It is the responsibility of the Responsible Finance Officer </w:t>
      </w:r>
      <w:r w:rsidR="00094AB4">
        <w:t>(</w:t>
      </w:r>
      <w:r w:rsidRPr="00F01A68">
        <w:t xml:space="preserve">RFO) to advise the Town Council about the level of reserves that it should hold and ensure that it has clear protocols for their establishment and use. </w:t>
      </w:r>
    </w:p>
    <w:p w14:paraId="55DB9C27" w14:textId="77777777" w:rsidR="005C6F27" w:rsidRDefault="005C6F27" w:rsidP="0039295E">
      <w:pPr>
        <w:pStyle w:val="Default"/>
        <w:spacing w:after="240" w:line="276" w:lineRule="auto"/>
        <w:jc w:val="both"/>
      </w:pPr>
      <w:r w:rsidRPr="00F01A68">
        <w:t>There is no statutory minimum but there are four significant safeguards in place against the Town Council over</w:t>
      </w:r>
      <w:r w:rsidR="00F01A68">
        <w:t xml:space="preserve"> committing itself financially:</w:t>
      </w:r>
    </w:p>
    <w:p w14:paraId="65025A1C" w14:textId="77777777" w:rsidR="005C6F27" w:rsidRPr="00F01A68" w:rsidRDefault="005C6F27" w:rsidP="00A6791A">
      <w:pPr>
        <w:pStyle w:val="Default"/>
        <w:numPr>
          <w:ilvl w:val="0"/>
          <w:numId w:val="2"/>
        </w:numPr>
        <w:spacing w:after="240" w:line="276" w:lineRule="auto"/>
      </w:pPr>
      <w:r w:rsidRPr="00F01A68">
        <w:t xml:space="preserve">The balanced budget requirement. </w:t>
      </w:r>
    </w:p>
    <w:p w14:paraId="2647CB20" w14:textId="77777777" w:rsidR="005C6F27" w:rsidRPr="00F01A68" w:rsidRDefault="005C6F27" w:rsidP="00A6791A">
      <w:pPr>
        <w:pStyle w:val="Default"/>
        <w:numPr>
          <w:ilvl w:val="0"/>
          <w:numId w:val="2"/>
        </w:numPr>
        <w:spacing w:after="240" w:line="276" w:lineRule="auto"/>
      </w:pPr>
      <w:r w:rsidRPr="00F01A68">
        <w:t xml:space="preserve">RFO </w:t>
      </w:r>
      <w:r w:rsidR="00094AB4">
        <w:t>s</w:t>
      </w:r>
      <w:r w:rsidRPr="00F01A68">
        <w:t xml:space="preserve">114 Powers. </w:t>
      </w:r>
    </w:p>
    <w:p w14:paraId="2B485422" w14:textId="77777777" w:rsidR="005C6F27" w:rsidRPr="00F01A68" w:rsidRDefault="005C6F27" w:rsidP="00A6791A">
      <w:pPr>
        <w:pStyle w:val="Default"/>
        <w:numPr>
          <w:ilvl w:val="0"/>
          <w:numId w:val="2"/>
        </w:numPr>
        <w:spacing w:after="240" w:line="276" w:lineRule="auto"/>
      </w:pPr>
      <w:r w:rsidRPr="00F01A68">
        <w:t xml:space="preserve">The External Auditors responsibility to review and report on financial standing. </w:t>
      </w:r>
    </w:p>
    <w:p w14:paraId="10D05719" w14:textId="77777777" w:rsidR="005C6F27" w:rsidRPr="00F01A68" w:rsidRDefault="005C6F27" w:rsidP="00A6791A">
      <w:pPr>
        <w:pStyle w:val="Default"/>
        <w:numPr>
          <w:ilvl w:val="0"/>
          <w:numId w:val="2"/>
        </w:numPr>
        <w:spacing w:after="240" w:line="276" w:lineRule="auto"/>
      </w:pPr>
      <w:r w:rsidRPr="00F01A68">
        <w:t xml:space="preserve">The year-end audit report from the Town Council’s Internal Auditor </w:t>
      </w:r>
    </w:p>
    <w:p w14:paraId="23AA1D25" w14:textId="64792709" w:rsidR="005C6F27" w:rsidRPr="00F01A68" w:rsidRDefault="00F01A68" w:rsidP="0039295E">
      <w:pPr>
        <w:pStyle w:val="Default"/>
        <w:spacing w:after="240" w:line="276" w:lineRule="auto"/>
        <w:jc w:val="both"/>
      </w:pPr>
      <w:r w:rsidRPr="00F01A68">
        <w:t>Faversham</w:t>
      </w:r>
      <w:r w:rsidR="005C6F27" w:rsidRPr="00F01A68">
        <w:t xml:space="preserve"> Town Council, on the advice of their RFO</w:t>
      </w:r>
      <w:r w:rsidR="00094AB4">
        <w:t xml:space="preserve"> and guidance of the Internal Auditor</w:t>
      </w:r>
      <w:r w:rsidR="005C6F27" w:rsidRPr="00F01A68">
        <w:t xml:space="preserve">, </w:t>
      </w:r>
      <w:r w:rsidRPr="00F01A68">
        <w:t>is</w:t>
      </w:r>
      <w:r w:rsidR="005C6F27" w:rsidRPr="00F01A68">
        <w:t xml:space="preserve"> required to make their own judgements on the level of reserves, </w:t>
      </w:r>
      <w:r w:rsidR="00A2684E" w:rsidRPr="00F01A68">
        <w:t>considering</w:t>
      </w:r>
      <w:r w:rsidR="005C6F27" w:rsidRPr="00F01A68">
        <w:t xml:space="preserve"> all relevant local circumstances. </w:t>
      </w:r>
      <w:r w:rsidR="00836075">
        <w:t xml:space="preserve"> </w:t>
      </w:r>
      <w:r w:rsidR="005C6F27" w:rsidRPr="00F01A68">
        <w:t xml:space="preserve"> </w:t>
      </w:r>
    </w:p>
    <w:p w14:paraId="502CDDB8" w14:textId="77777777" w:rsidR="005C6F27" w:rsidRPr="00F01A68" w:rsidRDefault="005C6F27" w:rsidP="0039295E">
      <w:pPr>
        <w:pStyle w:val="Default"/>
        <w:spacing w:after="240" w:line="276" w:lineRule="auto"/>
        <w:jc w:val="both"/>
      </w:pPr>
      <w:r w:rsidRPr="00F01A68">
        <w:t xml:space="preserve">It is the responsibility of the RFO to ensure reserves are spent in line with their purpose. Where expenditure is planned in future accounting periods, it is prudent to build up </w:t>
      </w:r>
      <w:proofErr w:type="gramStart"/>
      <w:r w:rsidRPr="00F01A68">
        <w:t>reserves in advance</w:t>
      </w:r>
      <w:proofErr w:type="gramEnd"/>
      <w:r w:rsidRPr="00F01A68">
        <w:t xml:space="preserve">. </w:t>
      </w:r>
    </w:p>
    <w:p w14:paraId="6442CE68" w14:textId="77777777" w:rsidR="005C6F27" w:rsidRDefault="005C6F27" w:rsidP="0039295E">
      <w:pPr>
        <w:pStyle w:val="Default"/>
        <w:spacing w:after="240" w:line="276" w:lineRule="auto"/>
        <w:jc w:val="both"/>
      </w:pPr>
      <w:r w:rsidRPr="00F01A68">
        <w:t xml:space="preserve">The RFO has a fiduciary duty </w:t>
      </w:r>
      <w:r w:rsidR="00AA3A51">
        <w:t>(</w:t>
      </w:r>
      <w:r w:rsidR="00AA3A51" w:rsidRPr="00AA3A51">
        <w:t>the highest standard of care</w:t>
      </w:r>
      <w:r w:rsidR="00AA3A51">
        <w:t xml:space="preserve">) </w:t>
      </w:r>
      <w:r w:rsidRPr="00F01A68">
        <w:t xml:space="preserve">to local taxpayers and must be satisfied that the decisions taken on balances and reserves represent responsible stewardship of public funds. </w:t>
      </w:r>
    </w:p>
    <w:p w14:paraId="71F56191" w14:textId="77777777" w:rsidR="005B798B" w:rsidRDefault="005B798B" w:rsidP="0039295E">
      <w:pPr>
        <w:pStyle w:val="Default"/>
        <w:spacing w:after="240" w:line="276" w:lineRule="auto"/>
        <w:jc w:val="both"/>
        <w:rPr>
          <w:color w:val="auto"/>
        </w:rPr>
      </w:pPr>
      <w:r w:rsidRPr="0086718F">
        <w:rPr>
          <w:color w:val="auto"/>
        </w:rPr>
        <w:t>It is recommended that the level of General Reserves should not fall below the level of current risk, currently some 20% of revenue budget.</w:t>
      </w:r>
    </w:p>
    <w:p w14:paraId="1D07E302" w14:textId="255F39DD" w:rsidR="008749AC" w:rsidRPr="00F01A68" w:rsidRDefault="006611EF" w:rsidP="00C4043E">
      <w:pPr>
        <w:pStyle w:val="Heading2"/>
        <w:rPr>
          <w:bCs/>
        </w:rPr>
      </w:pPr>
      <w:bookmarkStart w:id="9" w:name="_Toc164701464"/>
      <w:r>
        <w:t>S</w:t>
      </w:r>
      <w:r w:rsidR="00F01A68" w:rsidRPr="00F01A68">
        <w:t>UMMARY</w:t>
      </w:r>
      <w:bookmarkEnd w:id="9"/>
      <w:r w:rsidR="00F01A68" w:rsidRPr="00F01A68">
        <w:t xml:space="preserve"> </w:t>
      </w:r>
    </w:p>
    <w:p w14:paraId="529C8B48" w14:textId="77777777" w:rsidR="005C6F27" w:rsidRPr="00F01A68" w:rsidRDefault="005C6F27" w:rsidP="00F01A68">
      <w:pPr>
        <w:pStyle w:val="Default"/>
        <w:spacing w:after="240" w:line="276" w:lineRule="auto"/>
      </w:pPr>
      <w:r w:rsidRPr="00F01A68">
        <w:rPr>
          <w:b/>
          <w:bCs/>
        </w:rPr>
        <w:t xml:space="preserve">General Reserves should not reach the level of the precept. </w:t>
      </w:r>
    </w:p>
    <w:p w14:paraId="56E9030A" w14:textId="17AF0DCB" w:rsidR="00F01A68" w:rsidRPr="00F01A68" w:rsidRDefault="005C6F27">
      <w:pPr>
        <w:pStyle w:val="Default"/>
        <w:spacing w:after="240" w:line="276" w:lineRule="auto"/>
      </w:pPr>
      <w:r w:rsidRPr="00F01A68">
        <w:t>The figure for General Reserves is obtained from Assessment of Potential Risks (</w:t>
      </w:r>
      <w:r w:rsidRPr="00F01A68">
        <w:rPr>
          <w:i/>
          <w:iCs/>
        </w:rPr>
        <w:t>not covered by insurance</w:t>
      </w:r>
      <w:r w:rsidRPr="00F01A68">
        <w:t xml:space="preserve">), section 5 and will be reviewed on a yearly basis. </w:t>
      </w:r>
    </w:p>
    <w:sectPr w:rsidR="00F01A68" w:rsidRPr="00F01A68" w:rsidSect="00C4043E">
      <w:footerReference w:type="defaul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48F6C" w14:textId="77777777" w:rsidR="00C3688D" w:rsidRDefault="00C3688D" w:rsidP="008749AC">
      <w:pPr>
        <w:spacing w:after="0" w:line="240" w:lineRule="auto"/>
      </w:pPr>
      <w:r>
        <w:separator/>
      </w:r>
    </w:p>
  </w:endnote>
  <w:endnote w:type="continuationSeparator" w:id="0">
    <w:p w14:paraId="7F7A5AD7" w14:textId="77777777" w:rsidR="00C3688D" w:rsidRDefault="00C3688D" w:rsidP="00874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BF1BC" w14:textId="38AD0203" w:rsidR="00CF5210" w:rsidRDefault="00C4043E">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EE884" w14:textId="77777777" w:rsidR="00C3688D" w:rsidRDefault="00C3688D" w:rsidP="008749AC">
      <w:pPr>
        <w:spacing w:after="0" w:line="240" w:lineRule="auto"/>
      </w:pPr>
      <w:r>
        <w:separator/>
      </w:r>
    </w:p>
  </w:footnote>
  <w:footnote w:type="continuationSeparator" w:id="0">
    <w:p w14:paraId="2673AE85" w14:textId="77777777" w:rsidR="00C3688D" w:rsidRDefault="00C3688D" w:rsidP="00874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E7B38"/>
    <w:multiLevelType w:val="hybridMultilevel"/>
    <w:tmpl w:val="D742B3B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39A10FC"/>
    <w:multiLevelType w:val="hybridMultilevel"/>
    <w:tmpl w:val="973687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2E3D86"/>
    <w:multiLevelType w:val="hybridMultilevel"/>
    <w:tmpl w:val="4C4C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209766">
    <w:abstractNumId w:val="0"/>
  </w:num>
  <w:num w:numId="2" w16cid:durableId="706636310">
    <w:abstractNumId w:val="1"/>
  </w:num>
  <w:num w:numId="3" w16cid:durableId="440802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49"/>
    <w:rsid w:val="00094AB4"/>
    <w:rsid w:val="000B05EF"/>
    <w:rsid w:val="000F4F69"/>
    <w:rsid w:val="00101821"/>
    <w:rsid w:val="00165125"/>
    <w:rsid w:val="002138DD"/>
    <w:rsid w:val="00267F95"/>
    <w:rsid w:val="0039295E"/>
    <w:rsid w:val="0046296E"/>
    <w:rsid w:val="004B1928"/>
    <w:rsid w:val="004F4E19"/>
    <w:rsid w:val="0055502F"/>
    <w:rsid w:val="005B798B"/>
    <w:rsid w:val="005C6F27"/>
    <w:rsid w:val="005E5770"/>
    <w:rsid w:val="006611EF"/>
    <w:rsid w:val="006A15A3"/>
    <w:rsid w:val="007D3274"/>
    <w:rsid w:val="007F7EB7"/>
    <w:rsid w:val="0082502A"/>
    <w:rsid w:val="00836075"/>
    <w:rsid w:val="0086718F"/>
    <w:rsid w:val="008700D3"/>
    <w:rsid w:val="008749AC"/>
    <w:rsid w:val="008928E2"/>
    <w:rsid w:val="008D04BF"/>
    <w:rsid w:val="00922BE8"/>
    <w:rsid w:val="009F15FF"/>
    <w:rsid w:val="00A2684E"/>
    <w:rsid w:val="00A6791A"/>
    <w:rsid w:val="00A80952"/>
    <w:rsid w:val="00AA1A43"/>
    <w:rsid w:val="00AA3A51"/>
    <w:rsid w:val="00AC425F"/>
    <w:rsid w:val="00B03D89"/>
    <w:rsid w:val="00BA0837"/>
    <w:rsid w:val="00BA3BF2"/>
    <w:rsid w:val="00BD6D62"/>
    <w:rsid w:val="00C01F3E"/>
    <w:rsid w:val="00C25E81"/>
    <w:rsid w:val="00C26A0E"/>
    <w:rsid w:val="00C3688D"/>
    <w:rsid w:val="00C4043E"/>
    <w:rsid w:val="00CF306A"/>
    <w:rsid w:val="00CF5210"/>
    <w:rsid w:val="00D146F9"/>
    <w:rsid w:val="00D23482"/>
    <w:rsid w:val="00DC4AAE"/>
    <w:rsid w:val="00E666E6"/>
    <w:rsid w:val="00EA4449"/>
    <w:rsid w:val="00F01A68"/>
    <w:rsid w:val="00F27CE2"/>
    <w:rsid w:val="00F60E0C"/>
    <w:rsid w:val="00F67693"/>
    <w:rsid w:val="00FF490C"/>
    <w:rsid w:val="148203EF"/>
    <w:rsid w:val="3A6CE323"/>
    <w:rsid w:val="3C5D5829"/>
    <w:rsid w:val="42D230D0"/>
    <w:rsid w:val="7AA24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7FBA8"/>
  <w15:docId w15:val="{F15BA80A-DD79-4724-B16B-F00AFC7D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4E19"/>
    <w:pPr>
      <w:keepNext/>
      <w:spacing w:after="0" w:line="240" w:lineRule="auto"/>
      <w:jc w:val="center"/>
      <w:outlineLvl w:val="0"/>
    </w:pPr>
    <w:rPr>
      <w:rFonts w:ascii="Times New Roman" w:eastAsia="Times New Roman" w:hAnsi="Times New Roman" w:cs="Times New Roman"/>
      <w:b/>
      <w:bCs/>
      <w:sz w:val="24"/>
      <w:szCs w:val="24"/>
      <w:lang w:val="x-none"/>
    </w:rPr>
  </w:style>
  <w:style w:type="paragraph" w:styleId="Heading2">
    <w:name w:val="heading 2"/>
    <w:basedOn w:val="Normal"/>
    <w:next w:val="Normal"/>
    <w:link w:val="Heading2Char"/>
    <w:uiPriority w:val="9"/>
    <w:unhideWhenUsed/>
    <w:qFormat/>
    <w:rsid w:val="00C4043E"/>
    <w:pPr>
      <w:keepNext/>
      <w:keepLines/>
      <w:spacing w:before="40" w:after="0"/>
      <w:outlineLvl w:val="1"/>
    </w:pPr>
    <w:rPr>
      <w:rFonts w:asciiTheme="majorHAnsi" w:eastAsiaTheme="majorEastAsia" w:hAnsiTheme="majorHAnsi" w:cstheme="majorBidi"/>
      <w:color w:val="6F3B55" w:themeColor="accent1" w:themeShade="BF"/>
      <w:sz w:val="26"/>
      <w:szCs w:val="26"/>
    </w:rPr>
  </w:style>
  <w:style w:type="paragraph" w:styleId="Heading3">
    <w:name w:val="heading 3"/>
    <w:basedOn w:val="Normal"/>
    <w:next w:val="Normal"/>
    <w:link w:val="Heading3Char"/>
    <w:uiPriority w:val="9"/>
    <w:unhideWhenUsed/>
    <w:qFormat/>
    <w:rsid w:val="00C4043E"/>
    <w:pPr>
      <w:keepNext/>
      <w:keepLines/>
      <w:spacing w:before="40" w:after="0"/>
      <w:outlineLvl w:val="2"/>
    </w:pPr>
    <w:rPr>
      <w:rFonts w:asciiTheme="majorHAnsi" w:eastAsiaTheme="majorEastAsia" w:hAnsiTheme="majorHAnsi" w:cstheme="majorBidi"/>
      <w:color w:val="4A273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444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74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9AC"/>
  </w:style>
  <w:style w:type="paragraph" w:styleId="Footer">
    <w:name w:val="footer"/>
    <w:basedOn w:val="Normal"/>
    <w:link w:val="FooterChar"/>
    <w:uiPriority w:val="99"/>
    <w:unhideWhenUsed/>
    <w:rsid w:val="00874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9AC"/>
  </w:style>
  <w:style w:type="character" w:customStyle="1" w:styleId="Heading1Char">
    <w:name w:val="Heading 1 Char"/>
    <w:basedOn w:val="DefaultParagraphFont"/>
    <w:link w:val="Heading1"/>
    <w:rsid w:val="004F4E19"/>
    <w:rPr>
      <w:rFonts w:ascii="Times New Roman" w:eastAsia="Times New Roman" w:hAnsi="Times New Roman" w:cs="Times New Roman"/>
      <w:b/>
      <w:bCs/>
      <w:sz w:val="24"/>
      <w:szCs w:val="24"/>
      <w:lang w:val="x-none"/>
    </w:rPr>
  </w:style>
  <w:style w:type="paragraph" w:styleId="BalloonText">
    <w:name w:val="Balloon Text"/>
    <w:basedOn w:val="Normal"/>
    <w:link w:val="BalloonTextChar"/>
    <w:uiPriority w:val="99"/>
    <w:semiHidden/>
    <w:unhideWhenUsed/>
    <w:rsid w:val="004F4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E19"/>
    <w:rPr>
      <w:rFonts w:ascii="Tahoma" w:hAnsi="Tahoma" w:cs="Tahoma"/>
      <w:sz w:val="16"/>
      <w:szCs w:val="16"/>
    </w:rPr>
  </w:style>
  <w:style w:type="table" w:styleId="TableGrid">
    <w:name w:val="Table Grid"/>
    <w:basedOn w:val="TableNormal"/>
    <w:uiPriority w:val="59"/>
    <w:rsid w:val="008928E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4043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4043E"/>
    <w:rPr>
      <w:rFonts w:eastAsiaTheme="minorEastAsia"/>
      <w:lang w:val="en-US"/>
    </w:rPr>
  </w:style>
  <w:style w:type="character" w:customStyle="1" w:styleId="Heading2Char">
    <w:name w:val="Heading 2 Char"/>
    <w:basedOn w:val="DefaultParagraphFont"/>
    <w:link w:val="Heading2"/>
    <w:uiPriority w:val="9"/>
    <w:rsid w:val="00C4043E"/>
    <w:rPr>
      <w:rFonts w:asciiTheme="majorHAnsi" w:eastAsiaTheme="majorEastAsia" w:hAnsiTheme="majorHAnsi" w:cstheme="majorBidi"/>
      <w:color w:val="6F3B55" w:themeColor="accent1" w:themeShade="BF"/>
      <w:sz w:val="26"/>
      <w:szCs w:val="26"/>
    </w:rPr>
  </w:style>
  <w:style w:type="character" w:customStyle="1" w:styleId="Heading3Char">
    <w:name w:val="Heading 3 Char"/>
    <w:basedOn w:val="DefaultParagraphFont"/>
    <w:link w:val="Heading3"/>
    <w:uiPriority w:val="9"/>
    <w:rsid w:val="00C4043E"/>
    <w:rPr>
      <w:rFonts w:asciiTheme="majorHAnsi" w:eastAsiaTheme="majorEastAsia" w:hAnsiTheme="majorHAnsi" w:cstheme="majorBidi"/>
      <w:color w:val="4A2738" w:themeColor="accent1" w:themeShade="7F"/>
      <w:sz w:val="24"/>
      <w:szCs w:val="24"/>
    </w:rPr>
  </w:style>
  <w:style w:type="paragraph" w:styleId="TOCHeading">
    <w:name w:val="TOC Heading"/>
    <w:basedOn w:val="Heading1"/>
    <w:next w:val="Normal"/>
    <w:uiPriority w:val="39"/>
    <w:unhideWhenUsed/>
    <w:qFormat/>
    <w:rsid w:val="00C4043E"/>
    <w:pPr>
      <w:keepLines/>
      <w:spacing w:before="240" w:line="259" w:lineRule="auto"/>
      <w:jc w:val="left"/>
      <w:outlineLvl w:val="9"/>
    </w:pPr>
    <w:rPr>
      <w:rFonts w:asciiTheme="majorHAnsi" w:eastAsiaTheme="majorEastAsia" w:hAnsiTheme="majorHAnsi" w:cstheme="majorBidi"/>
      <w:b w:val="0"/>
      <w:bCs w:val="0"/>
      <w:color w:val="6F3B55" w:themeColor="accent1" w:themeShade="BF"/>
      <w:sz w:val="32"/>
      <w:szCs w:val="32"/>
      <w:lang w:val="en-US"/>
    </w:rPr>
  </w:style>
  <w:style w:type="paragraph" w:styleId="TOC2">
    <w:name w:val="toc 2"/>
    <w:basedOn w:val="Normal"/>
    <w:next w:val="Normal"/>
    <w:autoRedefine/>
    <w:uiPriority w:val="39"/>
    <w:unhideWhenUsed/>
    <w:rsid w:val="00C4043E"/>
    <w:pPr>
      <w:spacing w:after="100"/>
      <w:ind w:left="220"/>
    </w:pPr>
  </w:style>
  <w:style w:type="paragraph" w:styleId="TOC3">
    <w:name w:val="toc 3"/>
    <w:basedOn w:val="Normal"/>
    <w:next w:val="Normal"/>
    <w:autoRedefine/>
    <w:uiPriority w:val="39"/>
    <w:unhideWhenUsed/>
    <w:rsid w:val="00C4043E"/>
    <w:pPr>
      <w:spacing w:after="100"/>
      <w:ind w:left="440"/>
    </w:pPr>
  </w:style>
  <w:style w:type="character" w:styleId="Hyperlink">
    <w:name w:val="Hyperlink"/>
    <w:basedOn w:val="DefaultParagraphFont"/>
    <w:uiPriority w:val="99"/>
    <w:unhideWhenUsed/>
    <w:rsid w:val="00C4043E"/>
    <w:rPr>
      <w:color w:val="00194C" w:themeColor="hyperlink"/>
      <w:u w:val="single"/>
    </w:rPr>
  </w:style>
  <w:style w:type="paragraph" w:styleId="Revision">
    <w:name w:val="Revision"/>
    <w:hidden/>
    <w:uiPriority w:val="99"/>
    <w:semiHidden/>
    <w:rsid w:val="00A268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rgbClr val="3F3F3F"/>
      </a:dk1>
      <a:lt1>
        <a:srgbClr val="FFFFFF"/>
      </a:lt1>
      <a:dk2>
        <a:srgbClr val="000000"/>
      </a:dk2>
      <a:lt2>
        <a:srgbClr val="A5A5A5"/>
      </a:lt2>
      <a:accent1>
        <a:srgbClr val="954F72"/>
      </a:accent1>
      <a:accent2>
        <a:srgbClr val="0F3955"/>
      </a:accent2>
      <a:accent3>
        <a:srgbClr val="BBC3CD"/>
      </a:accent3>
      <a:accent4>
        <a:srgbClr val="484848"/>
      </a:accent4>
      <a:accent5>
        <a:srgbClr val="1F1F26"/>
      </a:accent5>
      <a:accent6>
        <a:srgbClr val="F2CAA2"/>
      </a:accent6>
      <a:hlink>
        <a:srgbClr val="00194C"/>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79C67-BAB3-483C-9253-FB3574B27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General reserves policy</vt:lpstr>
    </vt:vector>
  </TitlesOfParts>
  <Company>Sussex Downs College</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reserves policy</dc:title>
  <dc:creator>Chetna Jones</dc:creator>
  <cp:lastModifiedBy>Louise Bareham</cp:lastModifiedBy>
  <cp:revision>2</cp:revision>
  <cp:lastPrinted>2017-02-24T13:06:00Z</cp:lastPrinted>
  <dcterms:created xsi:type="dcterms:W3CDTF">2025-01-02T15:16:00Z</dcterms:created>
  <dcterms:modified xsi:type="dcterms:W3CDTF">2025-01-02T15:16:00Z</dcterms:modified>
</cp:coreProperties>
</file>